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33CE" w14:textId="77777777" w:rsidR="00A47219" w:rsidRDefault="00A47219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00154AC5" w14:textId="77777777" w:rsidR="00A47219" w:rsidRDefault="00907A20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Haematology audit template </w:t>
      </w:r>
    </w:p>
    <w:p w14:paraId="4BE20E61" w14:textId="77777777" w:rsidR="00A47219" w:rsidRDefault="00A47219">
      <w:pPr>
        <w:ind w:left="-142"/>
        <w:rPr>
          <w:rFonts w:ascii="Arial" w:hAnsi="Arial" w:cs="Arial"/>
        </w:rPr>
      </w:pPr>
    </w:p>
    <w:p w14:paraId="3A4E7C87" w14:textId="77777777" w:rsidR="00A47219" w:rsidRDefault="00A4721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186"/>
      </w:tblGrid>
      <w:tr w:rsidR="00A47219" w14:paraId="018EEA7F" w14:textId="77777777" w:rsidTr="6B99A735">
        <w:trPr>
          <w:trHeight w:val="469"/>
        </w:trPr>
        <w:tc>
          <w:tcPr>
            <w:tcW w:w="1668" w:type="dxa"/>
          </w:tcPr>
          <w:p w14:paraId="700C0D9F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8186" w:type="dxa"/>
          </w:tcPr>
          <w:p w14:paraId="19739103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A47219" w14:paraId="1DA79A48" w14:textId="77777777" w:rsidTr="6B99A735">
        <w:trPr>
          <w:trHeight w:val="469"/>
        </w:trPr>
        <w:tc>
          <w:tcPr>
            <w:tcW w:w="1668" w:type="dxa"/>
          </w:tcPr>
          <w:p w14:paraId="62C6CBC6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author/</w:t>
            </w:r>
            <w:r w:rsidR="00607B58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8186" w:type="dxa"/>
          </w:tcPr>
          <w:p w14:paraId="7F844943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  <w:p w14:paraId="10FB8EF2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color w:val="FF0000"/>
              </w:rPr>
            </w:pPr>
          </w:p>
        </w:tc>
      </w:tr>
      <w:tr w:rsidR="00A47219" w14:paraId="419B016E" w14:textId="77777777" w:rsidTr="6B99A735">
        <w:trPr>
          <w:trHeight w:val="469"/>
        </w:trPr>
        <w:tc>
          <w:tcPr>
            <w:tcW w:w="1668" w:type="dxa"/>
          </w:tcPr>
          <w:p w14:paraId="41D670C2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5AB08995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Haematology</w:t>
            </w:r>
          </w:p>
        </w:tc>
      </w:tr>
      <w:tr w:rsidR="00A47219" w14:paraId="0AF631BB" w14:textId="77777777" w:rsidTr="6B99A735">
        <w:trPr>
          <w:trHeight w:val="469"/>
        </w:trPr>
        <w:tc>
          <w:tcPr>
            <w:tcW w:w="1668" w:type="dxa"/>
          </w:tcPr>
          <w:p w14:paraId="7292ACCE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7FFC3E7D" w14:textId="439F3E33" w:rsidR="00A47219" w:rsidRPr="009336DF" w:rsidRDefault="000A78C3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9336DF">
              <w:rPr>
                <w:rFonts w:ascii="Arial" w:hAnsi="Arial" w:cs="Arial"/>
                <w:b/>
                <w:color w:val="000000"/>
              </w:rPr>
              <w:t>An audit of com</w:t>
            </w:r>
            <w:r w:rsidR="00F427B8">
              <w:rPr>
                <w:rFonts w:ascii="Arial" w:hAnsi="Arial" w:cs="Arial"/>
                <w:b/>
                <w:color w:val="000000"/>
              </w:rPr>
              <w:t xml:space="preserve">pliance with the </w:t>
            </w:r>
            <w:r w:rsidR="00C456CC">
              <w:rPr>
                <w:rFonts w:ascii="Arial" w:hAnsi="Arial" w:cs="Arial"/>
                <w:b/>
                <w:color w:val="000000"/>
              </w:rPr>
              <w:t xml:space="preserve">British Society for Haematology </w:t>
            </w:r>
            <w:r w:rsidR="00930E7F" w:rsidRPr="009336DF">
              <w:rPr>
                <w:rFonts w:ascii="Arial" w:hAnsi="Arial" w:cs="Arial"/>
                <w:b/>
                <w:color w:val="000000"/>
              </w:rPr>
              <w:t>guideline</w:t>
            </w:r>
            <w:r w:rsidRPr="009336DF">
              <w:rPr>
                <w:rFonts w:ascii="Arial" w:hAnsi="Arial" w:cs="Arial"/>
                <w:b/>
                <w:color w:val="000000"/>
              </w:rPr>
              <w:t xml:space="preserve"> on </w:t>
            </w:r>
            <w:r w:rsidR="0039738C">
              <w:rPr>
                <w:rFonts w:ascii="Arial" w:hAnsi="Arial" w:cs="Arial"/>
                <w:b/>
                <w:color w:val="000000"/>
              </w:rPr>
              <w:t>the management of mature T-cell and NK-cell lymphomas (excluding cutaneous T-cell lymphoma)</w:t>
            </w:r>
          </w:p>
        </w:tc>
      </w:tr>
      <w:tr w:rsidR="00A47219" w14:paraId="13BA2A93" w14:textId="77777777" w:rsidTr="6B99A735">
        <w:trPr>
          <w:trHeight w:val="469"/>
        </w:trPr>
        <w:tc>
          <w:tcPr>
            <w:tcW w:w="1668" w:type="dxa"/>
          </w:tcPr>
          <w:p w14:paraId="21DE9134" w14:textId="77777777" w:rsidR="00A47219" w:rsidRDefault="00A47219" w:rsidP="0002111C">
            <w:pPr>
              <w:autoSpaceDE w:val="0"/>
              <w:autoSpaceDN w:val="0"/>
              <w:adjustRightInd w:val="0"/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72752931" w14:textId="68F9E5B4" w:rsidR="00A47219" w:rsidRPr="009336DF" w:rsidRDefault="00F427B8" w:rsidP="0002111C">
            <w:pPr>
              <w:pStyle w:val="Standard"/>
              <w:spacing w:before="60" w:after="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r w:rsidR="008903A4" w:rsidRPr="008903A4">
              <w:rPr>
                <w:color w:val="000000"/>
              </w:rPr>
              <w:t xml:space="preserve">British Society for Haematology (BSH) </w:t>
            </w:r>
            <w:r w:rsidR="000A78C3" w:rsidRPr="009336DF">
              <w:rPr>
                <w:color w:val="000000"/>
              </w:rPr>
              <w:t>has published guidance on</w:t>
            </w:r>
            <w:r w:rsidR="00F47B20">
              <w:rPr>
                <w:color w:val="000000"/>
              </w:rPr>
              <w:t xml:space="preserve"> </w:t>
            </w:r>
            <w:r w:rsidR="0039738C" w:rsidRPr="0039738C">
              <w:rPr>
                <w:bCs/>
                <w:color w:val="000000"/>
              </w:rPr>
              <w:t>the management of mature T-cell and NK-cell lymphomas</w:t>
            </w:r>
            <w:r w:rsidR="000A78C3" w:rsidRPr="0039738C">
              <w:rPr>
                <w:bCs/>
                <w:color w:val="000000"/>
              </w:rPr>
              <w:t>. This</w:t>
            </w:r>
            <w:r w:rsidR="000A78C3" w:rsidRPr="009336DF">
              <w:rPr>
                <w:color w:val="000000"/>
              </w:rPr>
              <w:t xml:space="preserve"> audit will review compliance with </w:t>
            </w:r>
            <w:r w:rsidR="00E87A70" w:rsidRPr="009336DF">
              <w:rPr>
                <w:color w:val="000000"/>
              </w:rPr>
              <w:t xml:space="preserve">some of the level 1 recommendations </w:t>
            </w:r>
            <w:r w:rsidR="007E65AC" w:rsidRPr="009336DF">
              <w:rPr>
                <w:color w:val="000000"/>
              </w:rPr>
              <w:t>made</w:t>
            </w:r>
            <w:r w:rsidR="000A78C3" w:rsidRPr="009336DF">
              <w:rPr>
                <w:color w:val="000000"/>
              </w:rPr>
              <w:t>.</w:t>
            </w:r>
          </w:p>
        </w:tc>
      </w:tr>
      <w:tr w:rsidR="00956CF8" w14:paraId="119DB751" w14:textId="77777777" w:rsidTr="6B99A735">
        <w:trPr>
          <w:trHeight w:val="469"/>
        </w:trPr>
        <w:tc>
          <w:tcPr>
            <w:tcW w:w="1668" w:type="dxa"/>
          </w:tcPr>
          <w:p w14:paraId="680000EC" w14:textId="77777777" w:rsidR="00956CF8" w:rsidRDefault="00607B58" w:rsidP="0002111C">
            <w:pPr>
              <w:autoSpaceDE w:val="0"/>
              <w:autoSpaceDN w:val="0"/>
              <w:adjustRightInd w:val="0"/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Aim &amp; o</w:t>
            </w:r>
            <w:r w:rsidR="00956CF8">
              <w:rPr>
                <w:rFonts w:ascii="Arial" w:hAnsi="Arial" w:cs="Arial"/>
                <w:b/>
              </w:rPr>
              <w:t>bjectives</w:t>
            </w:r>
          </w:p>
        </w:tc>
        <w:tc>
          <w:tcPr>
            <w:tcW w:w="8186" w:type="dxa"/>
          </w:tcPr>
          <w:p w14:paraId="63304E6D" w14:textId="0FAFA7F7" w:rsidR="00956CF8" w:rsidRPr="009336DF" w:rsidRDefault="00956CF8" w:rsidP="0002111C">
            <w:pPr>
              <w:pStyle w:val="Standard"/>
              <w:spacing w:before="60" w:after="60" w:line="259" w:lineRule="auto"/>
              <w:rPr>
                <w:color w:val="000000"/>
              </w:rPr>
            </w:pPr>
            <w:r w:rsidRPr="009336DF">
              <w:rPr>
                <w:color w:val="000000"/>
              </w:rPr>
              <w:t xml:space="preserve">To review whether patients </w:t>
            </w:r>
            <w:r w:rsidR="00607B58" w:rsidRPr="009336DF">
              <w:rPr>
                <w:color w:val="000000"/>
              </w:rPr>
              <w:t xml:space="preserve">with </w:t>
            </w:r>
            <w:r w:rsidR="00D54ED1">
              <w:t>a T-cell or NK-cell lymphoma</w:t>
            </w:r>
            <w:r w:rsidR="008E1A4B">
              <w:t xml:space="preserve"> </w:t>
            </w:r>
            <w:r w:rsidRPr="009336DF">
              <w:rPr>
                <w:color w:val="000000"/>
              </w:rPr>
              <w:t xml:space="preserve">are: </w:t>
            </w:r>
          </w:p>
          <w:p w14:paraId="4F3D8CA1" w14:textId="4126C440" w:rsidR="00956CF8" w:rsidRPr="009336DF" w:rsidRDefault="00D54ED1" w:rsidP="0002111C">
            <w:pPr>
              <w:pStyle w:val="Standard"/>
              <w:numPr>
                <w:ilvl w:val="0"/>
                <w:numId w:val="40"/>
              </w:numPr>
              <w:spacing w:before="60" w:after="60" w:line="259" w:lineRule="auto"/>
              <w:ind w:left="425" w:hanging="425"/>
              <w:rPr>
                <w:color w:val="000000"/>
              </w:rPr>
            </w:pPr>
            <w:r>
              <w:rPr>
                <w:color w:val="000000"/>
              </w:rPr>
              <w:t>being correctly diagnosed</w:t>
            </w:r>
          </w:p>
          <w:p w14:paraId="0748DEF3" w14:textId="52611630" w:rsidR="00956CF8" w:rsidRPr="009336DF" w:rsidRDefault="00D54ED1" w:rsidP="0002111C">
            <w:pPr>
              <w:pStyle w:val="Standard"/>
              <w:numPr>
                <w:ilvl w:val="0"/>
                <w:numId w:val="40"/>
              </w:numPr>
              <w:spacing w:before="60" w:after="60" w:line="259" w:lineRule="auto"/>
              <w:ind w:left="425" w:hanging="425"/>
              <w:rPr>
                <w:color w:val="000000"/>
              </w:rPr>
            </w:pPr>
            <w:r>
              <w:rPr>
                <w:color w:val="000000"/>
              </w:rPr>
              <w:t xml:space="preserve">appropriately </w:t>
            </w:r>
            <w:r w:rsidR="00EB26C6">
              <w:rPr>
                <w:color w:val="000000"/>
              </w:rPr>
              <w:t>managed</w:t>
            </w:r>
            <w:r w:rsidR="003379E2">
              <w:rPr>
                <w:color w:val="000000"/>
              </w:rPr>
              <w:t>.</w:t>
            </w:r>
            <w:r w:rsidR="000C0A27">
              <w:rPr>
                <w:color w:val="000000"/>
              </w:rPr>
              <w:t xml:space="preserve"> </w:t>
            </w:r>
          </w:p>
        </w:tc>
      </w:tr>
      <w:tr w:rsidR="0097300E" w14:paraId="1F384A69" w14:textId="77777777" w:rsidTr="6B99A735">
        <w:trPr>
          <w:trHeight w:val="469"/>
        </w:trPr>
        <w:tc>
          <w:tcPr>
            <w:tcW w:w="1668" w:type="dxa"/>
          </w:tcPr>
          <w:p w14:paraId="6A8E6A40" w14:textId="77777777" w:rsidR="0097300E" w:rsidRDefault="0097300E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Standards and criteria</w:t>
            </w:r>
          </w:p>
        </w:tc>
        <w:tc>
          <w:tcPr>
            <w:tcW w:w="8186" w:type="dxa"/>
          </w:tcPr>
          <w:p w14:paraId="748F128E" w14:textId="7F0D8783" w:rsidR="0097300E" w:rsidRPr="005E7581" w:rsidRDefault="00FB6CD8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100%, or if not achieved</w:t>
            </w:r>
            <w:r w:rsidRPr="005E7581">
              <w:rPr>
                <w:rFonts w:ascii="Arial" w:hAnsi="Arial" w:cs="Arial"/>
              </w:rPr>
              <w:t xml:space="preserve"> there is documentation in the case n</w:t>
            </w:r>
            <w:r>
              <w:rPr>
                <w:rFonts w:ascii="Arial" w:hAnsi="Arial" w:cs="Arial"/>
              </w:rPr>
              <w:t xml:space="preserve">otes that explains the variance </w:t>
            </w:r>
            <w:r w:rsidR="00003FA0">
              <w:rPr>
                <w:rFonts w:ascii="Arial" w:hAnsi="Arial" w:cs="Arial"/>
              </w:rPr>
              <w:t>(</w:t>
            </w:r>
            <w:r w:rsidR="00377480">
              <w:rPr>
                <w:rFonts w:ascii="Arial" w:hAnsi="Arial" w:cs="Arial"/>
              </w:rPr>
              <w:t xml:space="preserve">most </w:t>
            </w:r>
            <w:r w:rsidR="00003FA0">
              <w:rPr>
                <w:rFonts w:ascii="Arial" w:hAnsi="Arial" w:cs="Arial"/>
              </w:rPr>
              <w:t>standards relate to subgroups of patients only)</w:t>
            </w:r>
            <w:r w:rsidR="00AE0DA9">
              <w:rPr>
                <w:rFonts w:ascii="Arial" w:hAnsi="Arial" w:cs="Arial"/>
              </w:rPr>
              <w:t>.</w:t>
            </w:r>
          </w:p>
          <w:p w14:paraId="2FC7D4B6" w14:textId="4FADD5F1" w:rsidR="0097300E" w:rsidRDefault="000A01CE" w:rsidP="0002111C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t>All p</w:t>
            </w:r>
            <w:r w:rsidR="009E2524" w:rsidRPr="0078536E">
              <w:t xml:space="preserve">atients </w:t>
            </w:r>
            <w:r w:rsidR="00477BCF">
              <w:rPr>
                <w:bCs/>
              </w:rPr>
              <w:t>with</w:t>
            </w:r>
            <w:r w:rsidR="00477BCF" w:rsidRPr="00D019E1">
              <w:rPr>
                <w:bCs/>
              </w:rPr>
              <w:t xml:space="preserve"> </w:t>
            </w:r>
            <w:r w:rsidR="006D6AED">
              <w:rPr>
                <w:bCs/>
              </w:rPr>
              <w:t xml:space="preserve">peripheral T-cell lymphoma </w:t>
            </w:r>
            <w:r w:rsidR="004E6CE8">
              <w:rPr>
                <w:bCs/>
              </w:rPr>
              <w:t>(</w:t>
            </w:r>
            <w:r w:rsidR="00477BCF" w:rsidRPr="00D019E1">
              <w:rPr>
                <w:bCs/>
              </w:rPr>
              <w:t>PTCL</w:t>
            </w:r>
            <w:r w:rsidR="004E6CE8">
              <w:rPr>
                <w:bCs/>
              </w:rPr>
              <w:t>)</w:t>
            </w:r>
            <w:r w:rsidR="00477BCF" w:rsidRPr="00D019E1">
              <w:rPr>
                <w:bCs/>
              </w:rPr>
              <w:t xml:space="preserve"> should be discussed at a regional lymphoma </w:t>
            </w:r>
            <w:r w:rsidR="004E6CE8">
              <w:rPr>
                <w:bCs/>
              </w:rPr>
              <w:t>multidis</w:t>
            </w:r>
            <w:r w:rsidR="00E45CEE">
              <w:rPr>
                <w:bCs/>
              </w:rPr>
              <w:t>ciplinary team (</w:t>
            </w:r>
            <w:r w:rsidR="00477BCF" w:rsidRPr="00D019E1">
              <w:rPr>
                <w:bCs/>
              </w:rPr>
              <w:t>MDT</w:t>
            </w:r>
            <w:r w:rsidR="00E45CEE">
              <w:rPr>
                <w:bCs/>
              </w:rPr>
              <w:t>)</w:t>
            </w:r>
            <w:r w:rsidR="00477BCF" w:rsidRPr="00D019E1">
              <w:rPr>
                <w:bCs/>
              </w:rPr>
              <w:t xml:space="preserve"> to include expert pathology review and clinical management recommendations</w:t>
            </w:r>
            <w:r w:rsidR="0078536E">
              <w:t>.</w:t>
            </w:r>
          </w:p>
          <w:p w14:paraId="03D271F2" w14:textId="55EE1BFB" w:rsidR="00F56A11" w:rsidRDefault="00F56A11" w:rsidP="0002111C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rPr>
                <w:shd w:val="clear" w:color="auto" w:fill="FFFFFF"/>
              </w:rPr>
              <w:t>All PTCL cases aged</w:t>
            </w:r>
            <w:r w:rsidR="00F261F1">
              <w:rPr>
                <w:shd w:val="clear" w:color="auto" w:fill="FFFFFF"/>
              </w:rPr>
              <w:t xml:space="preserve"> </w:t>
            </w:r>
            <w:r w:rsidR="00C22900" w:rsidRPr="0002111C">
              <w:rPr>
                <w:shd w:val="clear" w:color="auto" w:fill="FFFFFF"/>
              </w:rPr>
              <w:t xml:space="preserve">under </w:t>
            </w:r>
            <w:r>
              <w:rPr>
                <w:shd w:val="clear" w:color="auto" w:fill="FFFFFF"/>
              </w:rPr>
              <w:t xml:space="preserve">25 years should be discussed with a </w:t>
            </w:r>
            <w:r w:rsidR="005454DB">
              <w:rPr>
                <w:shd w:val="clear" w:color="auto" w:fill="FFFFFF"/>
              </w:rPr>
              <w:t>t</w:t>
            </w:r>
            <w:r w:rsidR="00B37E07">
              <w:rPr>
                <w:shd w:val="clear" w:color="auto" w:fill="FFFFFF"/>
              </w:rPr>
              <w:t xml:space="preserve">eenage and </w:t>
            </w:r>
            <w:r w:rsidR="005454DB">
              <w:rPr>
                <w:shd w:val="clear" w:color="auto" w:fill="FFFFFF"/>
              </w:rPr>
              <w:t>y</w:t>
            </w:r>
            <w:r w:rsidR="00B37E07">
              <w:rPr>
                <w:shd w:val="clear" w:color="auto" w:fill="FFFFFF"/>
              </w:rPr>
              <w:t xml:space="preserve">oung </w:t>
            </w:r>
            <w:r w:rsidR="005454DB">
              <w:rPr>
                <w:shd w:val="clear" w:color="auto" w:fill="FFFFFF"/>
              </w:rPr>
              <w:t>a</w:t>
            </w:r>
            <w:r w:rsidR="00B37E07">
              <w:rPr>
                <w:shd w:val="clear" w:color="auto" w:fill="FFFFFF"/>
              </w:rPr>
              <w:t>dult (</w:t>
            </w:r>
            <w:r>
              <w:rPr>
                <w:shd w:val="clear" w:color="auto" w:fill="FFFFFF"/>
              </w:rPr>
              <w:t>TYA</w:t>
            </w:r>
            <w:r w:rsidR="00B37E07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 xml:space="preserve"> specialist</w:t>
            </w:r>
            <w:r w:rsidR="008903A4">
              <w:rPr>
                <w:shd w:val="clear" w:color="auto" w:fill="FFFFFF"/>
              </w:rPr>
              <w:t>.</w:t>
            </w:r>
          </w:p>
          <w:p w14:paraId="51F8D742" w14:textId="2AB4541C" w:rsidR="008903A4" w:rsidRDefault="00F56A11" w:rsidP="008903A4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t xml:space="preserve">All PTCL patients should be offered </w:t>
            </w:r>
            <w:r w:rsidR="00774E8A" w:rsidRPr="00774E8A">
              <w:t xml:space="preserve">human T-lymphotropic virus </w:t>
            </w:r>
            <w:r w:rsidR="00774E8A">
              <w:t>(</w:t>
            </w:r>
            <w:r>
              <w:t>HTLV</w:t>
            </w:r>
            <w:r w:rsidR="00774E8A">
              <w:t>)</w:t>
            </w:r>
            <w:r>
              <w:t xml:space="preserve"> screening</w:t>
            </w:r>
            <w:r w:rsidR="00F261F1">
              <w:t xml:space="preserve"> at diagnosis regardless of subtype</w:t>
            </w:r>
            <w:r w:rsidR="008903A4">
              <w:t>.</w:t>
            </w:r>
          </w:p>
          <w:p w14:paraId="4A765DFE" w14:textId="630B8D89" w:rsidR="00F56A11" w:rsidRDefault="008903A4" w:rsidP="0002111C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t>HTLV-p</w:t>
            </w:r>
            <w:r w:rsidR="00F56A11">
              <w:t xml:space="preserve">ositive </w:t>
            </w:r>
            <w:r>
              <w:t xml:space="preserve">PTCL </w:t>
            </w:r>
            <w:r w:rsidR="00F56A11">
              <w:t>cases should be discussed with the national HTLV service</w:t>
            </w:r>
            <w:r>
              <w:t>.</w:t>
            </w:r>
          </w:p>
          <w:p w14:paraId="3576ECD6" w14:textId="32691AC2" w:rsidR="00304884" w:rsidRDefault="00F261F1" w:rsidP="0002111C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>
              <w:t>Patients with</w:t>
            </w:r>
            <w:r w:rsidR="004F17F7">
              <w:t xml:space="preserve"> </w:t>
            </w:r>
            <w:r w:rsidR="004F17F7" w:rsidRPr="004F17F7">
              <w:t xml:space="preserve">T-cell prolymphocytic </w:t>
            </w:r>
            <w:r w:rsidR="00BF1DCB" w:rsidRPr="004F17F7">
              <w:t>leukaemia</w:t>
            </w:r>
            <w:r>
              <w:t xml:space="preserve"> </w:t>
            </w:r>
            <w:r w:rsidR="004F17F7">
              <w:t>(</w:t>
            </w:r>
            <w:r>
              <w:t>T-PLL</w:t>
            </w:r>
            <w:r w:rsidR="004F17F7">
              <w:t>)</w:t>
            </w:r>
            <w:r>
              <w:t xml:space="preserve"> treated with alemtuzumab should have regular </w:t>
            </w:r>
            <w:r w:rsidR="00895BCC">
              <w:t>c</w:t>
            </w:r>
            <w:r w:rsidR="00895BCC" w:rsidRPr="00895BCC">
              <w:t>ytomegalovirus</w:t>
            </w:r>
            <w:r w:rsidR="001507DA">
              <w:t xml:space="preserve"> quant</w:t>
            </w:r>
            <w:r w:rsidR="008903A4">
              <w:t>it</w:t>
            </w:r>
            <w:r w:rsidR="001507DA">
              <w:t>ative</w:t>
            </w:r>
            <w:r w:rsidR="006823FB">
              <w:t xml:space="preserve"> PCR</w:t>
            </w:r>
            <w:r w:rsidR="00895BCC" w:rsidRPr="00895BCC">
              <w:t xml:space="preserve"> </w:t>
            </w:r>
            <w:r w:rsidR="006823FB">
              <w:t>(</w:t>
            </w:r>
            <w:r>
              <w:t xml:space="preserve">CMV </w:t>
            </w:r>
            <w:r w:rsidR="00275295">
              <w:t>q</w:t>
            </w:r>
            <w:r>
              <w:t>PCR</w:t>
            </w:r>
            <w:r w:rsidR="006823FB">
              <w:t>)</w:t>
            </w:r>
            <w:r>
              <w:t xml:space="preserve"> monitoring and receive herpes zoster and </w:t>
            </w:r>
            <w:proofErr w:type="spellStart"/>
            <w:r w:rsidR="00A2091E" w:rsidRPr="0002111C">
              <w:rPr>
                <w:i/>
                <w:iCs/>
              </w:rPr>
              <w:t>p</w:t>
            </w:r>
            <w:r w:rsidRPr="0002111C">
              <w:rPr>
                <w:i/>
                <w:iCs/>
              </w:rPr>
              <w:t>neumocytis</w:t>
            </w:r>
            <w:proofErr w:type="spellEnd"/>
            <w:r w:rsidRPr="0002111C">
              <w:rPr>
                <w:i/>
                <w:iCs/>
              </w:rPr>
              <w:t xml:space="preserve"> </w:t>
            </w:r>
            <w:proofErr w:type="spellStart"/>
            <w:r w:rsidRPr="0002111C">
              <w:rPr>
                <w:i/>
                <w:iCs/>
              </w:rPr>
              <w:t>jirovecii</w:t>
            </w:r>
            <w:proofErr w:type="spellEnd"/>
            <w:r>
              <w:t xml:space="preserve"> prophylaxis</w:t>
            </w:r>
            <w:r w:rsidR="008903A4">
              <w:t>.</w:t>
            </w:r>
          </w:p>
          <w:p w14:paraId="1FA5303D" w14:textId="46482E7C" w:rsidR="00C84C2F" w:rsidRPr="00B57B32" w:rsidRDefault="008152CE" w:rsidP="0002111C">
            <w:pPr>
              <w:pStyle w:val="Standard"/>
              <w:numPr>
                <w:ilvl w:val="0"/>
                <w:numId w:val="41"/>
              </w:numPr>
              <w:spacing w:before="60" w:after="60" w:line="259" w:lineRule="auto"/>
              <w:ind w:left="425" w:hanging="425"/>
            </w:pPr>
            <w:r w:rsidRPr="00304884">
              <w:rPr>
                <w:bCs/>
              </w:rPr>
              <w:t xml:space="preserve">All patients with systemic </w:t>
            </w:r>
            <w:r w:rsidR="009103A3" w:rsidRPr="00304884">
              <w:rPr>
                <w:bCs/>
              </w:rPr>
              <w:t>anaplastic large cell lymphoma (</w:t>
            </w:r>
            <w:r w:rsidRPr="00304884">
              <w:rPr>
                <w:bCs/>
              </w:rPr>
              <w:t>ALCL</w:t>
            </w:r>
            <w:r w:rsidR="009103A3" w:rsidRPr="00304884">
              <w:rPr>
                <w:bCs/>
              </w:rPr>
              <w:t>)</w:t>
            </w:r>
            <w:r w:rsidRPr="00304884">
              <w:rPr>
                <w:bCs/>
              </w:rPr>
              <w:t xml:space="preserve"> should be offered six cycles of </w:t>
            </w:r>
            <w:r w:rsidR="009A0AD1" w:rsidRPr="00DB3A58">
              <w:t>cyclophosphamide, doxorubicin, and prednisone</w:t>
            </w:r>
            <w:r w:rsidR="009A0AD1">
              <w:t xml:space="preserve"> and</w:t>
            </w:r>
            <w:r w:rsidR="009A0AD1" w:rsidRPr="00DB3A58">
              <w:t xml:space="preserve"> </w:t>
            </w:r>
            <w:r w:rsidR="009A0AD1" w:rsidRPr="00304884">
              <w:rPr>
                <w:bCs/>
              </w:rPr>
              <w:t>brentuximab vedotin (</w:t>
            </w:r>
            <w:r w:rsidRPr="00304884">
              <w:rPr>
                <w:bCs/>
              </w:rPr>
              <w:t>CHP-BV</w:t>
            </w:r>
            <w:r w:rsidR="009A0AD1" w:rsidRPr="00304884">
              <w:rPr>
                <w:bCs/>
              </w:rPr>
              <w:t>)</w:t>
            </w:r>
            <w:r w:rsidRPr="00304884">
              <w:rPr>
                <w:bCs/>
              </w:rPr>
              <w:t xml:space="preserve"> as first-line therapy</w:t>
            </w:r>
            <w:r w:rsidR="008903A4">
              <w:rPr>
                <w:bCs/>
              </w:rPr>
              <w:t>.</w:t>
            </w:r>
          </w:p>
        </w:tc>
      </w:tr>
      <w:tr w:rsidR="00A47219" w14:paraId="678DE7C3" w14:textId="77777777" w:rsidTr="0002111C">
        <w:trPr>
          <w:cantSplit/>
          <w:trHeight w:val="469"/>
        </w:trPr>
        <w:tc>
          <w:tcPr>
            <w:tcW w:w="1668" w:type="dxa"/>
          </w:tcPr>
          <w:p w14:paraId="4D8B651A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Method</w:t>
            </w:r>
          </w:p>
          <w:p w14:paraId="77B270CE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139E914A" w14:textId="77777777" w:rsidR="00752883" w:rsidRPr="003B2596" w:rsidRDefault="00752883" w:rsidP="0002111C">
            <w:pPr>
              <w:spacing w:before="60" w:after="60" w:line="259" w:lineRule="auto"/>
              <w:ind w:left="0"/>
            </w:pPr>
            <w:r w:rsidRPr="0002111C">
              <w:rPr>
                <w:rFonts w:ascii="Arial" w:hAnsi="Arial" w:cs="Arial"/>
                <w:b/>
                <w:color w:val="000000"/>
              </w:rPr>
              <w:t>Sample selection</w:t>
            </w:r>
          </w:p>
          <w:p w14:paraId="45388080" w14:textId="21E71092" w:rsidR="00F47B20" w:rsidRPr="00C76889" w:rsidRDefault="00EB26C6" w:rsidP="0002111C">
            <w:pPr>
              <w:pStyle w:val="ListParagraph"/>
              <w:numPr>
                <w:ilvl w:val="0"/>
                <w:numId w:val="48"/>
              </w:numPr>
              <w:spacing w:before="60" w:after="60" w:line="259" w:lineRule="auto"/>
              <w:ind w:left="425" w:hanging="425"/>
            </w:pPr>
            <w:r>
              <w:rPr>
                <w:color w:val="000000"/>
              </w:rPr>
              <w:t>A</w:t>
            </w:r>
            <w:r w:rsidR="005023FF" w:rsidRPr="00752883">
              <w:rPr>
                <w:color w:val="000000"/>
              </w:rPr>
              <w:t xml:space="preserve">ll patients </w:t>
            </w:r>
            <w:r>
              <w:rPr>
                <w:color w:val="000000"/>
              </w:rPr>
              <w:t xml:space="preserve">diagnosed with a T-cell or NK-cell lymphoma </w:t>
            </w:r>
            <w:r w:rsidR="000A01CE" w:rsidRPr="00752883">
              <w:rPr>
                <w:color w:val="000000"/>
              </w:rPr>
              <w:t xml:space="preserve">in the preceding </w:t>
            </w:r>
            <w:r w:rsidR="008152CE">
              <w:rPr>
                <w:color w:val="000000"/>
              </w:rPr>
              <w:t>36</w:t>
            </w:r>
            <w:r w:rsidR="000A01CE" w:rsidRPr="00752883">
              <w:rPr>
                <w:color w:val="000000"/>
              </w:rPr>
              <w:t> months</w:t>
            </w:r>
            <w:r w:rsidR="008E1A4B">
              <w:rPr>
                <w:color w:val="000000"/>
              </w:rPr>
              <w:t xml:space="preserve">, up to a maximum of </w:t>
            </w:r>
            <w:r w:rsidR="008152CE">
              <w:rPr>
                <w:color w:val="000000"/>
              </w:rPr>
              <w:t>12</w:t>
            </w:r>
            <w:r w:rsidR="00223A12">
              <w:rPr>
                <w:color w:val="000000"/>
              </w:rPr>
              <w:t> </w:t>
            </w:r>
            <w:r w:rsidR="00193037">
              <w:rPr>
                <w:color w:val="000000"/>
              </w:rPr>
              <w:t>consecutive patients</w:t>
            </w:r>
          </w:p>
          <w:p w14:paraId="10B9A923" w14:textId="77777777" w:rsidR="00766841" w:rsidRPr="00766841" w:rsidRDefault="00766841" w:rsidP="0002111C">
            <w:pPr>
              <w:spacing w:before="60" w:after="60" w:line="259" w:lineRule="auto"/>
              <w:ind w:left="0"/>
            </w:pPr>
          </w:p>
          <w:p w14:paraId="3D9A67D3" w14:textId="77777777" w:rsidR="00A47219" w:rsidRDefault="005023FF" w:rsidP="0002111C">
            <w:pPr>
              <w:pStyle w:val="ListParagraph"/>
              <w:numPr>
                <w:ilvl w:val="0"/>
                <w:numId w:val="0"/>
              </w:numPr>
              <w:spacing w:before="60" w:after="60" w:line="259" w:lineRule="auto"/>
            </w:pPr>
            <w:r w:rsidRPr="005023FF">
              <w:rPr>
                <w:b/>
                <w:color w:val="000000"/>
              </w:rPr>
              <w:t>Data to be collected on proforma (see below).</w:t>
            </w:r>
          </w:p>
        </w:tc>
      </w:tr>
      <w:tr w:rsidR="00A47219" w14:paraId="4A840299" w14:textId="77777777" w:rsidTr="0002111C">
        <w:trPr>
          <w:trHeight w:val="5796"/>
        </w:trPr>
        <w:tc>
          <w:tcPr>
            <w:tcW w:w="1668" w:type="dxa"/>
          </w:tcPr>
          <w:p w14:paraId="4A010313" w14:textId="77777777" w:rsidR="00A47219" w:rsidRDefault="00A47219" w:rsidP="0002111C">
            <w:pPr>
              <w:spacing w:before="60" w:after="12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Results</w:t>
            </w:r>
          </w:p>
        </w:tc>
        <w:tc>
          <w:tcPr>
            <w:tcW w:w="8186" w:type="dxa"/>
          </w:tcPr>
          <w:p w14:paraId="23DFC493" w14:textId="77777777" w:rsidR="00A47219" w:rsidRDefault="00A47219" w:rsidP="0002111C">
            <w:pPr>
              <w:spacing w:before="60" w:after="120" w:line="259" w:lineRule="auto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5A84F89E" w14:textId="77777777" w:rsidR="00BC0613" w:rsidRPr="00C80194" w:rsidRDefault="00BC0613" w:rsidP="0002111C">
            <w:pPr>
              <w:spacing w:before="60" w:after="120" w:line="259" w:lineRule="auto"/>
              <w:ind w:left="0"/>
              <w:jc w:val="left"/>
              <w:rPr>
                <w:rFonts w:ascii="Arial" w:hAnsi="Arial" w:cs="Arial"/>
              </w:rPr>
            </w:pPr>
            <w:r w:rsidRPr="00C80194">
              <w:rPr>
                <w:rFonts w:ascii="Arial" w:hAnsi="Arial" w:cs="Arial"/>
              </w:rPr>
              <w:t>The results of this audit show the following compliance with the standards: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0"/>
              <w:gridCol w:w="1832"/>
            </w:tblGrid>
            <w:tr w:rsidR="00BC0613" w:rsidRPr="00C80194" w14:paraId="1199685C" w14:textId="77777777" w:rsidTr="009336DF">
              <w:tc>
                <w:tcPr>
                  <w:tcW w:w="5840" w:type="dxa"/>
                </w:tcPr>
                <w:p w14:paraId="3A42AE99" w14:textId="77777777" w:rsidR="00BC0613" w:rsidRPr="00C80194" w:rsidRDefault="00BC0613" w:rsidP="0002111C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80194">
                    <w:rPr>
                      <w:rFonts w:ascii="Arial" w:hAnsi="Arial" w:cs="Arial"/>
                      <w:b/>
                      <w:color w:val="000000"/>
                    </w:rPr>
                    <w:t>Investigation</w:t>
                  </w:r>
                </w:p>
              </w:tc>
              <w:tc>
                <w:tcPr>
                  <w:tcW w:w="1832" w:type="dxa"/>
                </w:tcPr>
                <w:p w14:paraId="2B30FE52" w14:textId="77777777" w:rsidR="00BC0613" w:rsidRPr="00C80194" w:rsidRDefault="00BC0613" w:rsidP="0002111C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80194">
                    <w:rPr>
                      <w:rFonts w:ascii="Arial" w:hAnsi="Arial" w:cs="Arial"/>
                      <w:b/>
                      <w:color w:val="000000"/>
                    </w:rPr>
                    <w:t xml:space="preserve">% </w:t>
                  </w:r>
                  <w:proofErr w:type="gramStart"/>
                  <w:r w:rsidRPr="00C80194">
                    <w:rPr>
                      <w:rFonts w:ascii="Arial" w:hAnsi="Arial" w:cs="Arial"/>
                      <w:b/>
                      <w:color w:val="000000"/>
                    </w:rPr>
                    <w:t>compliance</w:t>
                  </w:r>
                  <w:proofErr w:type="gramEnd"/>
                </w:p>
              </w:tc>
            </w:tr>
            <w:tr w:rsidR="00BC0613" w:rsidRPr="00C80194" w14:paraId="6C53C04C" w14:textId="77777777" w:rsidTr="009336DF">
              <w:tc>
                <w:tcPr>
                  <w:tcW w:w="5840" w:type="dxa"/>
                </w:tcPr>
                <w:p w14:paraId="4545395C" w14:textId="57CE4E06" w:rsidR="00BC0613" w:rsidRPr="00A45B37" w:rsidRDefault="00C8220C" w:rsidP="0002111C">
                  <w:pPr>
                    <w:pStyle w:val="ListParagraph"/>
                    <w:numPr>
                      <w:ilvl w:val="0"/>
                      <w:numId w:val="0"/>
                    </w:numPr>
                    <w:spacing w:before="60" w:after="60" w:line="259" w:lineRule="auto"/>
                  </w:pPr>
                  <w:r>
                    <w:t>All p</w:t>
                  </w:r>
                  <w:r w:rsidRPr="0078536E">
                    <w:t xml:space="preserve">atients </w:t>
                  </w:r>
                  <w:r w:rsidR="00EB26C6">
                    <w:rPr>
                      <w:bCs/>
                    </w:rPr>
                    <w:t>with</w:t>
                  </w:r>
                  <w:r w:rsidR="00EB26C6" w:rsidRPr="00D019E1">
                    <w:rPr>
                      <w:bCs/>
                    </w:rPr>
                    <w:t xml:space="preserve"> PTCL </w:t>
                  </w:r>
                  <w:r w:rsidR="00EB26C6">
                    <w:rPr>
                      <w:bCs/>
                    </w:rPr>
                    <w:t xml:space="preserve">were </w:t>
                  </w:r>
                  <w:r w:rsidR="00EB26C6" w:rsidRPr="00D019E1">
                    <w:rPr>
                      <w:bCs/>
                    </w:rPr>
                    <w:t xml:space="preserve">discussed at a regional lymphoma MDT </w:t>
                  </w:r>
                </w:p>
              </w:tc>
              <w:tc>
                <w:tcPr>
                  <w:tcW w:w="1832" w:type="dxa"/>
                </w:tcPr>
                <w:p w14:paraId="0BB65125" w14:textId="77777777" w:rsidR="00BC0613" w:rsidRPr="00C80194" w:rsidRDefault="00BC0613" w:rsidP="0002111C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9D3909" w:rsidRPr="00C80194" w14:paraId="09EB2616" w14:textId="77777777" w:rsidTr="009336DF">
              <w:tc>
                <w:tcPr>
                  <w:tcW w:w="5840" w:type="dxa"/>
                </w:tcPr>
                <w:p w14:paraId="640504DD" w14:textId="5A2C130D" w:rsidR="009D3909" w:rsidRPr="00FF5096" w:rsidRDefault="008152CE" w:rsidP="0002111C">
                  <w:pPr>
                    <w:pStyle w:val="Standard"/>
                    <w:spacing w:before="60" w:after="60" w:line="259" w:lineRule="auto"/>
                  </w:pPr>
                  <w:r w:rsidRPr="008152CE">
                    <w:rPr>
                      <w:bCs/>
                    </w:rPr>
                    <w:t xml:space="preserve">All PTCL cases aged </w:t>
                  </w:r>
                  <w:r w:rsidR="00974E43">
                    <w:rPr>
                      <w:bCs/>
                    </w:rPr>
                    <w:t xml:space="preserve">under </w:t>
                  </w:r>
                  <w:r w:rsidRPr="008152CE">
                    <w:rPr>
                      <w:bCs/>
                    </w:rPr>
                    <w:t xml:space="preserve">25 years </w:t>
                  </w:r>
                  <w:r w:rsidR="00E21F5D">
                    <w:rPr>
                      <w:bCs/>
                    </w:rPr>
                    <w:t>were</w:t>
                  </w:r>
                  <w:r w:rsidRPr="008152CE">
                    <w:rPr>
                      <w:bCs/>
                    </w:rPr>
                    <w:t xml:space="preserve"> discussed with a TYA specialist</w:t>
                  </w:r>
                </w:p>
              </w:tc>
              <w:tc>
                <w:tcPr>
                  <w:tcW w:w="1832" w:type="dxa"/>
                </w:tcPr>
                <w:p w14:paraId="2F9889CC" w14:textId="77777777" w:rsidR="009D3909" w:rsidRPr="00C80194" w:rsidRDefault="009D3909" w:rsidP="0002111C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9D3909" w:rsidRPr="00C80194" w14:paraId="24129AF2" w14:textId="77777777" w:rsidTr="009336DF">
              <w:tc>
                <w:tcPr>
                  <w:tcW w:w="5840" w:type="dxa"/>
                </w:tcPr>
                <w:p w14:paraId="1D20DEB4" w14:textId="24DA5308" w:rsidR="009D3909" w:rsidRPr="00FF5096" w:rsidRDefault="008152CE" w:rsidP="0002111C">
                  <w:pPr>
                    <w:pStyle w:val="Standard"/>
                    <w:spacing w:before="60" w:after="60" w:line="259" w:lineRule="auto"/>
                  </w:pPr>
                  <w:r w:rsidRPr="008152CE">
                    <w:rPr>
                      <w:bCs/>
                    </w:rPr>
                    <w:t xml:space="preserve">All PTCL patients </w:t>
                  </w:r>
                  <w:r w:rsidR="00E21F5D">
                    <w:rPr>
                      <w:bCs/>
                    </w:rPr>
                    <w:t>were</w:t>
                  </w:r>
                  <w:r w:rsidRPr="008152CE">
                    <w:rPr>
                      <w:bCs/>
                    </w:rPr>
                    <w:t xml:space="preserve"> offered HTLV-1 screening at diagnosis regardless of subtype</w:t>
                  </w:r>
                </w:p>
              </w:tc>
              <w:tc>
                <w:tcPr>
                  <w:tcW w:w="1832" w:type="dxa"/>
                </w:tcPr>
                <w:p w14:paraId="110C6886" w14:textId="77777777" w:rsidR="009D3909" w:rsidRPr="00C80194" w:rsidRDefault="009D3909" w:rsidP="0002111C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9D3909" w:rsidRPr="00C80194" w14:paraId="170E69A8" w14:textId="77777777" w:rsidTr="009336DF">
              <w:tc>
                <w:tcPr>
                  <w:tcW w:w="5840" w:type="dxa"/>
                </w:tcPr>
                <w:p w14:paraId="78CF0D94" w14:textId="074B39BE" w:rsidR="009D3909" w:rsidRPr="00FF5096" w:rsidRDefault="00E21F5D" w:rsidP="0002111C">
                  <w:pPr>
                    <w:pStyle w:val="Standard"/>
                    <w:spacing w:before="60" w:after="60" w:line="259" w:lineRule="auto"/>
                  </w:pPr>
                  <w:r>
                    <w:t>HTLV-1 positive PTCL cases were discussed with the national HTLV-1 service</w:t>
                  </w:r>
                </w:p>
              </w:tc>
              <w:tc>
                <w:tcPr>
                  <w:tcW w:w="1832" w:type="dxa"/>
                </w:tcPr>
                <w:p w14:paraId="3A48D489" w14:textId="77777777" w:rsidR="009D3909" w:rsidRPr="00C80194" w:rsidRDefault="009D3909" w:rsidP="0002111C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E21F5D" w:rsidRPr="00C80194" w14:paraId="5FE495EA" w14:textId="77777777" w:rsidTr="009336DF">
              <w:tc>
                <w:tcPr>
                  <w:tcW w:w="5840" w:type="dxa"/>
                </w:tcPr>
                <w:p w14:paraId="4FEC79AE" w14:textId="67E3C8EA" w:rsidR="00E21F5D" w:rsidRDefault="005978F5" w:rsidP="0002111C">
                  <w:pPr>
                    <w:pStyle w:val="Standard"/>
                    <w:spacing w:before="60" w:after="60" w:line="259" w:lineRule="auto"/>
                    <w:rPr>
                      <w:bCs/>
                    </w:rPr>
                  </w:pPr>
                  <w:r w:rsidRPr="008152CE">
                    <w:rPr>
                      <w:bCs/>
                    </w:rPr>
                    <w:t xml:space="preserve">Patients with T-PLL treated with alemtuzumab </w:t>
                  </w:r>
                  <w:r>
                    <w:rPr>
                      <w:bCs/>
                    </w:rPr>
                    <w:t>had</w:t>
                  </w:r>
                  <w:r w:rsidRPr="008152CE">
                    <w:rPr>
                      <w:bCs/>
                    </w:rPr>
                    <w:t xml:space="preserve"> regular CMV </w:t>
                  </w:r>
                  <w:r>
                    <w:rPr>
                      <w:bCs/>
                    </w:rPr>
                    <w:t>q</w:t>
                  </w:r>
                  <w:r w:rsidRPr="008152CE">
                    <w:rPr>
                      <w:bCs/>
                    </w:rPr>
                    <w:t>PCR monitoring and receive</w:t>
                  </w:r>
                  <w:r>
                    <w:rPr>
                      <w:bCs/>
                    </w:rPr>
                    <w:t>d</w:t>
                  </w:r>
                  <w:r w:rsidRPr="008152CE">
                    <w:rPr>
                      <w:bCs/>
                    </w:rPr>
                    <w:t xml:space="preserve"> herpes zoster and </w:t>
                  </w:r>
                  <w:r w:rsidR="0062148C" w:rsidRPr="0002111C">
                    <w:rPr>
                      <w:bCs/>
                      <w:i/>
                      <w:iCs/>
                    </w:rPr>
                    <w:t>p.</w:t>
                  </w:r>
                  <w:r w:rsidR="008903A4">
                    <w:rPr>
                      <w:bCs/>
                      <w:i/>
                      <w:iCs/>
                    </w:rPr>
                    <w:t xml:space="preserve"> </w:t>
                  </w:r>
                  <w:proofErr w:type="spellStart"/>
                  <w:r w:rsidRPr="00E21F5D">
                    <w:rPr>
                      <w:bCs/>
                      <w:i/>
                      <w:iCs/>
                    </w:rPr>
                    <w:t>jirovecii</w:t>
                  </w:r>
                  <w:proofErr w:type="spellEnd"/>
                  <w:r w:rsidRPr="008152CE">
                    <w:rPr>
                      <w:bCs/>
                    </w:rPr>
                    <w:t xml:space="preserve"> prophylaxis</w:t>
                  </w:r>
                </w:p>
              </w:tc>
              <w:tc>
                <w:tcPr>
                  <w:tcW w:w="1832" w:type="dxa"/>
                </w:tcPr>
                <w:p w14:paraId="3E04F981" w14:textId="77777777" w:rsidR="00E21F5D" w:rsidRPr="00C80194" w:rsidRDefault="00E21F5D" w:rsidP="0002111C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EB26C6" w:rsidRPr="00C80194" w14:paraId="7B179BDB" w14:textId="77777777" w:rsidTr="009336DF">
              <w:tc>
                <w:tcPr>
                  <w:tcW w:w="5840" w:type="dxa"/>
                </w:tcPr>
                <w:p w14:paraId="540B68CE" w14:textId="18D2B6EE" w:rsidR="00EB26C6" w:rsidRDefault="00E21F5D" w:rsidP="0002111C">
                  <w:pPr>
                    <w:pStyle w:val="Standard"/>
                    <w:spacing w:before="60" w:after="60" w:line="259" w:lineRule="auto"/>
                    <w:rPr>
                      <w:bCs/>
                    </w:rPr>
                  </w:pPr>
                  <w:r w:rsidRPr="00E21F5D">
                    <w:rPr>
                      <w:bCs/>
                    </w:rPr>
                    <w:t xml:space="preserve">All patients with systemic ALCL </w:t>
                  </w:r>
                  <w:r>
                    <w:rPr>
                      <w:bCs/>
                    </w:rPr>
                    <w:t xml:space="preserve">were </w:t>
                  </w:r>
                  <w:r w:rsidRPr="00E21F5D">
                    <w:rPr>
                      <w:bCs/>
                    </w:rPr>
                    <w:t>offered six cycles of CHP-BV as first-line therapy</w:t>
                  </w:r>
                  <w:r>
                    <w:rPr>
                      <w:bCs/>
                    </w:rPr>
                    <w:t xml:space="preserve"> unless contraindicated</w:t>
                  </w:r>
                </w:p>
              </w:tc>
              <w:tc>
                <w:tcPr>
                  <w:tcW w:w="1832" w:type="dxa"/>
                </w:tcPr>
                <w:p w14:paraId="54C094C1" w14:textId="77777777" w:rsidR="00EB26C6" w:rsidRPr="00C80194" w:rsidRDefault="00EB26C6" w:rsidP="0002111C">
                  <w:pPr>
                    <w:spacing w:before="60" w:after="60" w:line="259" w:lineRule="auto"/>
                    <w:ind w:left="0"/>
                    <w:jc w:val="lef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2F64D675" w14:textId="77777777" w:rsidR="00A47219" w:rsidRDefault="00A47219" w:rsidP="0002111C">
            <w:pPr>
              <w:spacing w:before="60" w:after="120" w:line="259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A47219" w14:paraId="5B8BB385" w14:textId="77777777" w:rsidTr="6B99A735">
        <w:trPr>
          <w:trHeight w:val="469"/>
        </w:trPr>
        <w:tc>
          <w:tcPr>
            <w:tcW w:w="1668" w:type="dxa"/>
          </w:tcPr>
          <w:p w14:paraId="456474FC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</w:t>
            </w:r>
          </w:p>
        </w:tc>
        <w:tc>
          <w:tcPr>
            <w:tcW w:w="8186" w:type="dxa"/>
          </w:tcPr>
          <w:p w14:paraId="39E8B360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6EA8C49D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A47219" w14:paraId="224AA2C5" w14:textId="77777777" w:rsidTr="6B99A735">
        <w:trPr>
          <w:trHeight w:val="469"/>
        </w:trPr>
        <w:tc>
          <w:tcPr>
            <w:tcW w:w="1668" w:type="dxa"/>
          </w:tcPr>
          <w:p w14:paraId="1972D228" w14:textId="795366A4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Recommend</w:t>
            </w:r>
            <w:r w:rsidR="008903A4">
              <w:rPr>
                <w:rFonts w:ascii="Arial" w:hAnsi="Arial" w:cs="Arial"/>
                <w:b/>
              </w:rPr>
              <w:t>-</w:t>
            </w:r>
            <w:proofErr w:type="spellStart"/>
            <w:r>
              <w:rPr>
                <w:rFonts w:ascii="Arial" w:hAnsi="Arial" w:cs="Arial"/>
                <w:b/>
              </w:rPr>
              <w:t>ations</w:t>
            </w:r>
            <w:proofErr w:type="spellEnd"/>
            <w:r>
              <w:rPr>
                <w:rFonts w:ascii="Arial" w:hAnsi="Arial" w:cs="Arial"/>
                <w:b/>
              </w:rPr>
              <w:t xml:space="preserve"> for improvement</w:t>
            </w:r>
          </w:p>
          <w:p w14:paraId="64F4FE07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25C246E9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29270F7E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5A8A2D1D" w14:textId="77777777" w:rsidR="004D16A5" w:rsidRDefault="004D16A5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01F1914C" w14:textId="77777777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14:paraId="2B5FC955" w14:textId="1DE22DA1" w:rsidR="00A47219" w:rsidRDefault="00A47219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772AACE8" w14:textId="54700941" w:rsidR="008903A4" w:rsidRDefault="00A47219" w:rsidP="00E35E65">
            <w:pPr>
              <w:pStyle w:val="Standard"/>
              <w:autoSpaceDE/>
              <w:autoSpaceDN/>
              <w:adjustRightInd/>
              <w:spacing w:before="60" w:after="60" w:line="259" w:lineRule="auto"/>
              <w:jc w:val="both"/>
              <w:rPr>
                <w:b/>
              </w:rPr>
            </w:pPr>
            <w:r>
              <w:t>Present the result with recommendations, actions, and responsibilities for action and a timescale for implementation. Assign a person</w:t>
            </w:r>
            <w:r w:rsidR="005B73BA">
              <w:t>(</w:t>
            </w:r>
            <w:r>
              <w:t>s</w:t>
            </w:r>
            <w:r w:rsidR="005B73BA">
              <w:t>)</w:t>
            </w:r>
            <w:r>
              <w:t xml:space="preserve"> responsible to do the work within a time frame.</w:t>
            </w:r>
          </w:p>
          <w:p w14:paraId="7974CB7E" w14:textId="77777777" w:rsidR="004D16A5" w:rsidRDefault="004D16A5" w:rsidP="0002111C">
            <w:pPr>
              <w:pStyle w:val="Standard"/>
              <w:autoSpaceDE/>
              <w:autoSpaceDN/>
              <w:adjustRightInd/>
              <w:spacing w:before="60" w:after="60" w:line="259" w:lineRule="auto"/>
              <w:jc w:val="both"/>
              <w:rPr>
                <w:b/>
              </w:rPr>
            </w:pPr>
          </w:p>
          <w:p w14:paraId="10AFA686" w14:textId="77777777" w:rsidR="00A47219" w:rsidRPr="00BC1A50" w:rsidRDefault="00A47219" w:rsidP="0002111C">
            <w:pPr>
              <w:pStyle w:val="Standard"/>
              <w:spacing w:before="60" w:after="60" w:line="259" w:lineRule="auto"/>
              <w:ind w:left="425" w:hanging="425"/>
              <w:rPr>
                <w:b/>
              </w:rPr>
            </w:pPr>
            <w:r w:rsidRPr="00BC1A50">
              <w:rPr>
                <w:b/>
              </w:rPr>
              <w:t>Some suggestions:</w:t>
            </w:r>
          </w:p>
          <w:p w14:paraId="3D941EFF" w14:textId="691FED75" w:rsidR="00A47219" w:rsidRDefault="00C82AEE" w:rsidP="0002111C">
            <w:pPr>
              <w:pStyle w:val="Standard"/>
              <w:numPr>
                <w:ilvl w:val="0"/>
                <w:numId w:val="45"/>
              </w:numPr>
              <w:spacing w:before="60" w:after="60" w:line="259" w:lineRule="auto"/>
              <w:ind w:left="425" w:hanging="425"/>
            </w:pPr>
            <w:r>
              <w:t>h</w:t>
            </w:r>
            <w:r w:rsidR="00A47219">
              <w:t>ighlight areas of practice that are different</w:t>
            </w:r>
          </w:p>
          <w:p w14:paraId="7675FEF1" w14:textId="08E5A276" w:rsidR="00A47219" w:rsidRDefault="00C82AEE" w:rsidP="0002111C">
            <w:pPr>
              <w:pStyle w:val="Standard"/>
              <w:spacing w:before="60" w:after="60" w:line="259" w:lineRule="auto"/>
              <w:ind w:left="425"/>
            </w:pPr>
            <w:r>
              <w:t>p</w:t>
            </w:r>
            <w:r w:rsidR="00A47219">
              <w:t>resent findings</w:t>
            </w:r>
            <w:r w:rsidR="00C54F10">
              <w:t>.</w:t>
            </w:r>
            <w:r w:rsidR="00A47219">
              <w:t xml:space="preserve"> </w:t>
            </w:r>
          </w:p>
          <w:p w14:paraId="27C24961" w14:textId="77777777" w:rsidR="004D16A5" w:rsidRDefault="004D16A5" w:rsidP="0002111C">
            <w:pPr>
              <w:pStyle w:val="Standard"/>
              <w:spacing w:before="60" w:after="60" w:line="259" w:lineRule="auto"/>
            </w:pPr>
          </w:p>
          <w:p w14:paraId="6385E262" w14:textId="6C962D21" w:rsidR="00A47219" w:rsidRPr="006D4A2C" w:rsidRDefault="00A47219" w:rsidP="0002111C">
            <w:pPr>
              <w:pStyle w:val="Standard"/>
              <w:spacing w:before="60" w:after="60" w:line="259" w:lineRule="auto"/>
              <w:rPr>
                <w:color w:val="FF0000"/>
              </w:rPr>
            </w:pPr>
          </w:p>
        </w:tc>
      </w:tr>
      <w:tr w:rsidR="0033393B" w14:paraId="355CD638" w14:textId="77777777" w:rsidTr="6B99A735">
        <w:trPr>
          <w:trHeight w:val="469"/>
        </w:trPr>
        <w:tc>
          <w:tcPr>
            <w:tcW w:w="1668" w:type="dxa"/>
          </w:tcPr>
          <w:p w14:paraId="185BE0EC" w14:textId="483D3CCB" w:rsidR="0033393B" w:rsidRDefault="0033393B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8186" w:type="dxa"/>
          </w:tcPr>
          <w:p w14:paraId="17D083CC" w14:textId="584E47E5" w:rsidR="0033393B" w:rsidRDefault="0033393B" w:rsidP="0002111C">
            <w:pPr>
              <w:pStyle w:val="Standard"/>
              <w:autoSpaceDE/>
              <w:autoSpaceDN/>
              <w:adjustRightInd/>
              <w:spacing w:before="60" w:after="60" w:line="259" w:lineRule="auto"/>
              <w:jc w:val="both"/>
            </w:pPr>
            <w:r w:rsidRPr="006D4A2C">
              <w:rPr>
                <w:color w:val="FF0000"/>
              </w:rPr>
              <w:t xml:space="preserve">(To be completed by the author </w:t>
            </w:r>
            <w:r w:rsidR="008903A4">
              <w:rPr>
                <w:color w:val="FF0000"/>
              </w:rPr>
              <w:t>– see</w:t>
            </w:r>
            <w:r w:rsidRPr="006D4A2C">
              <w:rPr>
                <w:color w:val="FF0000"/>
              </w:rPr>
              <w:t xml:space="preserve"> attached action plan proforma)</w:t>
            </w:r>
          </w:p>
        </w:tc>
      </w:tr>
      <w:tr w:rsidR="00A47219" w14:paraId="35C6E2FC" w14:textId="77777777" w:rsidTr="6B99A735">
        <w:trPr>
          <w:trHeight w:val="469"/>
        </w:trPr>
        <w:tc>
          <w:tcPr>
            <w:tcW w:w="1668" w:type="dxa"/>
          </w:tcPr>
          <w:p w14:paraId="245318E3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22EE9495" w14:textId="77777777" w:rsidR="00A47219" w:rsidRPr="00355A30" w:rsidRDefault="00355A30" w:rsidP="0002111C">
            <w:pPr>
              <w:spacing w:before="60" w:after="60" w:line="259" w:lineRule="auto"/>
              <w:ind w:left="0"/>
              <w:rPr>
                <w:rFonts w:ascii="Arial" w:hAnsi="Arial" w:cs="Arial"/>
                <w:color w:val="000000"/>
              </w:rPr>
            </w:pPr>
            <w:r w:rsidRPr="00355A30"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A47219" w14:paraId="6072605E" w14:textId="77777777" w:rsidTr="6B99A735">
        <w:trPr>
          <w:trHeight w:val="469"/>
        </w:trPr>
        <w:tc>
          <w:tcPr>
            <w:tcW w:w="1668" w:type="dxa"/>
          </w:tcPr>
          <w:p w14:paraId="29FEA2A2" w14:textId="4E28EE3D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8186" w:type="dxa"/>
          </w:tcPr>
          <w:p w14:paraId="206369CC" w14:textId="25DA6C25" w:rsidR="00FC189B" w:rsidRPr="00FC189B" w:rsidRDefault="005C3F07" w:rsidP="0002111C">
            <w:pPr>
              <w:pStyle w:val="Standard"/>
              <w:spacing w:before="60" w:after="60" w:line="259" w:lineRule="auto"/>
              <w:rPr>
                <w:rFonts w:eastAsia="Calibri"/>
                <w:lang w:eastAsia="en-US"/>
              </w:rPr>
            </w:pPr>
            <w:r>
              <w:t>Fox CP, Ahearne MH, Pettengell R, Dearden C, El-</w:t>
            </w:r>
            <w:proofErr w:type="spellStart"/>
            <w:r>
              <w:t>Sharkawi</w:t>
            </w:r>
            <w:proofErr w:type="spellEnd"/>
            <w:r>
              <w:t xml:space="preserve"> D, Kassam S </w:t>
            </w:r>
            <w:r w:rsidRPr="6B99A735">
              <w:rPr>
                <w:i/>
                <w:iCs/>
              </w:rPr>
              <w:t>et al</w:t>
            </w:r>
            <w:r w:rsidR="005C10FA" w:rsidRPr="6B99A735">
              <w:rPr>
                <w:i/>
                <w:iCs/>
              </w:rPr>
              <w:t>.</w:t>
            </w:r>
            <w:r w:rsidR="00EB6CC8">
              <w:t xml:space="preserve"> </w:t>
            </w:r>
            <w:r w:rsidR="002C5D15">
              <w:t>Guidelines for the management</w:t>
            </w:r>
            <w:r>
              <w:t xml:space="preserve"> of </w:t>
            </w:r>
            <w:r w:rsidR="002C5D15">
              <w:t>m</w:t>
            </w:r>
            <w:r>
              <w:t xml:space="preserve">ature T-cell and NK-cell </w:t>
            </w:r>
            <w:r w:rsidR="008903A4">
              <w:t>l</w:t>
            </w:r>
            <w:r>
              <w:t xml:space="preserve">ymphomas (excluding cutaneous T-cell </w:t>
            </w:r>
            <w:r w:rsidR="008903A4">
              <w:t>l</w:t>
            </w:r>
            <w:r>
              <w:t xml:space="preserve">ymphoma): A British Society for Haematology Guideline. </w:t>
            </w:r>
            <w:r w:rsidR="006D4A2C" w:rsidRPr="6B99A735">
              <w:rPr>
                <w:i/>
                <w:iCs/>
              </w:rPr>
              <w:t>Br J Haematol</w:t>
            </w:r>
            <w:r w:rsidR="006D4A2C">
              <w:t xml:space="preserve"> </w:t>
            </w:r>
            <w:bookmarkStart w:id="0" w:name="_Int_hwMAUQA5"/>
            <w:r w:rsidR="004C305B">
              <w:t>20</w:t>
            </w:r>
            <w:r w:rsidR="002A3D5D" w:rsidRPr="6B99A735">
              <w:rPr>
                <w:rFonts w:eastAsia="Calibri"/>
                <w:lang w:eastAsia="en-US"/>
              </w:rPr>
              <w:t>22;196:507</w:t>
            </w:r>
            <w:bookmarkEnd w:id="0"/>
            <w:r w:rsidR="008903A4">
              <w:rPr>
                <w:rFonts w:eastAsia="Calibri"/>
                <w:lang w:eastAsia="en-US"/>
              </w:rPr>
              <w:t>–</w:t>
            </w:r>
            <w:r w:rsidR="002A3D5D" w:rsidRPr="6B99A735">
              <w:rPr>
                <w:rFonts w:eastAsia="Calibri"/>
                <w:lang w:eastAsia="en-US"/>
              </w:rPr>
              <w:t>522</w:t>
            </w:r>
            <w:r w:rsidR="00FC189B" w:rsidRPr="6B99A735">
              <w:rPr>
                <w:rFonts w:eastAsia="Calibri"/>
                <w:lang w:eastAsia="en-US"/>
              </w:rPr>
              <w:t xml:space="preserve">. </w:t>
            </w:r>
          </w:p>
          <w:p w14:paraId="4BE30CE4" w14:textId="47737EF7" w:rsidR="008903A4" w:rsidRPr="0002111C" w:rsidRDefault="00570413" w:rsidP="0002111C">
            <w:pPr>
              <w:pStyle w:val="Standard"/>
              <w:spacing w:before="120" w:after="60" w:line="259" w:lineRule="auto"/>
              <w:rPr>
                <w:rFonts w:eastAsia="Arial"/>
                <w:color w:val="0000FF"/>
                <w:u w:val="single"/>
              </w:rPr>
            </w:pPr>
            <w:hyperlink r:id="rId7" w:history="1">
              <w:r w:rsidR="008903A4" w:rsidRPr="005E31F7">
                <w:rPr>
                  <w:rStyle w:val="Hyperlink"/>
                </w:rPr>
                <w:t>https://onlinelibrary.wiley.com/doi/10.1111/bjh.16221</w:t>
              </w:r>
            </w:hyperlink>
          </w:p>
        </w:tc>
      </w:tr>
    </w:tbl>
    <w:p w14:paraId="0F98C109" w14:textId="77777777" w:rsidR="006621AD" w:rsidRDefault="006621AD" w:rsidP="006621AD">
      <w:pPr>
        <w:pStyle w:val="Standard"/>
        <w:rPr>
          <w:b/>
        </w:rPr>
      </w:pPr>
    </w:p>
    <w:p w14:paraId="373226AC" w14:textId="00A3A994" w:rsidR="003B2596" w:rsidRDefault="003B2596">
      <w:pPr>
        <w:ind w:left="0"/>
        <w:jc w:val="left"/>
        <w:rPr>
          <w:rFonts w:ascii="Arial" w:eastAsia="Times New Roman" w:hAnsi="Arial" w:cs="Arial"/>
          <w:b/>
          <w:lang w:eastAsia="en-GB"/>
        </w:rPr>
      </w:pPr>
    </w:p>
    <w:p w14:paraId="21AD4425" w14:textId="77777777" w:rsidR="0002111C" w:rsidRDefault="0002111C">
      <w:pPr>
        <w:ind w:left="0"/>
        <w:jc w:val="left"/>
        <w:rPr>
          <w:rFonts w:ascii="Arial" w:eastAsia="Times New Roman" w:hAnsi="Arial" w:cs="Arial"/>
          <w:b/>
          <w:lang w:eastAsia="en-GB"/>
        </w:rPr>
      </w:pPr>
    </w:p>
    <w:p w14:paraId="3AF6A9D4" w14:textId="325D0FC1" w:rsidR="00A47219" w:rsidRPr="00A7466B" w:rsidRDefault="00AC3842" w:rsidP="006621AD">
      <w:pPr>
        <w:pStyle w:val="Standard"/>
        <w:rPr>
          <w:b/>
        </w:rPr>
      </w:pPr>
      <w:r w:rsidRPr="00A7466B">
        <w:rPr>
          <w:b/>
        </w:rPr>
        <w:t xml:space="preserve">Data collection proforma for patients with </w:t>
      </w:r>
      <w:r w:rsidR="00766841">
        <w:rPr>
          <w:b/>
        </w:rPr>
        <w:t xml:space="preserve">or at risk of </w:t>
      </w:r>
      <w:r w:rsidR="001C583C">
        <w:rPr>
          <w:b/>
        </w:rPr>
        <w:t>a mature T-cell or NK-cell lymphoma</w:t>
      </w:r>
    </w:p>
    <w:p w14:paraId="23DDFBB1" w14:textId="77777777" w:rsidR="00A47219" w:rsidRPr="00A7466B" w:rsidRDefault="00AC3842" w:rsidP="00A7466B">
      <w:pPr>
        <w:pStyle w:val="Standard"/>
        <w:jc w:val="center"/>
        <w:rPr>
          <w:b/>
        </w:rPr>
      </w:pPr>
      <w:r w:rsidRPr="00A7466B">
        <w:rPr>
          <w:b/>
        </w:rPr>
        <w:t xml:space="preserve">Audit reviewing </w:t>
      </w:r>
      <w:r w:rsidR="00A7466B">
        <w:rPr>
          <w:b/>
        </w:rPr>
        <w:t>practice</w:t>
      </w:r>
    </w:p>
    <w:p w14:paraId="160D6854" w14:textId="77777777" w:rsidR="00A47219" w:rsidRDefault="00A47219">
      <w:pPr>
        <w:keepNext/>
        <w:rPr>
          <w:rFonts w:ascii="Arial" w:hAnsi="Arial" w:cs="Arial"/>
          <w:b/>
        </w:rPr>
      </w:pPr>
    </w:p>
    <w:p w14:paraId="1B682CBE" w14:textId="77777777" w:rsidR="00A47219" w:rsidRDefault="00A47219">
      <w:pPr>
        <w:keepNext/>
        <w:ind w:left="0"/>
        <w:rPr>
          <w:rFonts w:ascii="Arial" w:hAnsi="Arial" w:cs="Arial"/>
        </w:rPr>
      </w:pPr>
    </w:p>
    <w:p w14:paraId="1455A717" w14:textId="77777777" w:rsidR="00A47219" w:rsidRDefault="00A47219">
      <w:pPr>
        <w:keepNext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Patient Name:          </w:t>
      </w:r>
    </w:p>
    <w:p w14:paraId="34F7D76D" w14:textId="77777777" w:rsidR="00A47219" w:rsidRDefault="00A47219">
      <w:pPr>
        <w:keepNext/>
        <w:ind w:left="0"/>
        <w:rPr>
          <w:rFonts w:ascii="Arial" w:hAnsi="Arial" w:cs="Arial"/>
        </w:rPr>
      </w:pPr>
    </w:p>
    <w:p w14:paraId="231041AC" w14:textId="77777777" w:rsidR="00A47219" w:rsidRDefault="00A47219">
      <w:pPr>
        <w:keepNext/>
        <w:ind w:left="0"/>
        <w:rPr>
          <w:rFonts w:ascii="Arial" w:hAnsi="Arial" w:cs="Arial"/>
        </w:rPr>
      </w:pPr>
      <w:r>
        <w:rPr>
          <w:rFonts w:ascii="Arial" w:hAnsi="Arial" w:cs="Arial"/>
        </w:rPr>
        <w:t>Hospital Number:</w:t>
      </w:r>
    </w:p>
    <w:p w14:paraId="41B42B7E" w14:textId="77777777" w:rsidR="00A47219" w:rsidRDefault="00A47219">
      <w:pPr>
        <w:keepNext/>
        <w:ind w:left="0"/>
        <w:rPr>
          <w:rFonts w:ascii="Arial" w:hAnsi="Arial" w:cs="Arial"/>
        </w:rPr>
      </w:pPr>
    </w:p>
    <w:p w14:paraId="37F5499B" w14:textId="77777777" w:rsidR="00A47219" w:rsidRDefault="00A47219">
      <w:pPr>
        <w:keepNext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Date of Birth: </w:t>
      </w:r>
    </w:p>
    <w:p w14:paraId="58158810" w14:textId="306CC9A5" w:rsidR="00A47219" w:rsidRDefault="001C583C">
      <w:pPr>
        <w:keepNext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808A3E" w14:textId="77777777" w:rsidR="001C583C" w:rsidRDefault="001C583C">
      <w:pPr>
        <w:keepNext/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0"/>
        <w:gridCol w:w="701"/>
        <w:gridCol w:w="693"/>
        <w:gridCol w:w="2243"/>
        <w:gridCol w:w="2451"/>
      </w:tblGrid>
      <w:tr w:rsidR="00A7466B" w14:paraId="5189F9A2" w14:textId="77777777" w:rsidTr="004C305B">
        <w:trPr>
          <w:cantSplit/>
          <w:trHeight w:val="128"/>
        </w:trPr>
        <w:tc>
          <w:tcPr>
            <w:tcW w:w="3540" w:type="dxa"/>
            <w:tcBorders>
              <w:bottom w:val="single" w:sz="4" w:space="0" w:color="auto"/>
            </w:tcBorders>
          </w:tcPr>
          <w:p w14:paraId="4D11B5F6" w14:textId="04D3DA78" w:rsidR="00A7466B" w:rsidRPr="00A7466B" w:rsidRDefault="00A7466B" w:rsidP="0002111C">
            <w:pPr>
              <w:pStyle w:val="Heading3"/>
              <w:spacing w:before="60" w:line="259" w:lineRule="auto"/>
              <w:ind w:left="0"/>
              <w:jc w:val="left"/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B7E8AA4" w14:textId="77777777" w:rsidR="00A7466B" w:rsidRPr="00562BB4" w:rsidRDefault="00A7466B" w:rsidP="0002111C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562BB4">
              <w:rPr>
                <w:rFonts w:ascii="Arial" w:hAnsi="Arial" w:cs="Arial"/>
                <w:b/>
                <w:bCs/>
              </w:rPr>
              <w:t>1</w:t>
            </w:r>
          </w:p>
          <w:p w14:paraId="00997B1E" w14:textId="77777777" w:rsidR="00A7466B" w:rsidRPr="00562BB4" w:rsidRDefault="00A7466B" w:rsidP="0002111C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 w:rsidRPr="00562BB4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1B14D098" w14:textId="77777777" w:rsidR="00A7466B" w:rsidRPr="00562BB4" w:rsidRDefault="00A7466B" w:rsidP="0002111C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562BB4">
              <w:rPr>
                <w:rFonts w:ascii="Arial" w:hAnsi="Arial" w:cs="Arial"/>
                <w:b/>
                <w:bCs/>
              </w:rPr>
              <w:t>2</w:t>
            </w:r>
          </w:p>
          <w:p w14:paraId="08930E85" w14:textId="77777777" w:rsidR="00A7466B" w:rsidRPr="00562BB4" w:rsidRDefault="00A7466B" w:rsidP="0002111C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</w:rPr>
            </w:pPr>
            <w:r w:rsidRPr="00562BB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CA0C53F" w14:textId="0D8A5527" w:rsidR="00A7466B" w:rsidRDefault="00A7466B" w:rsidP="0002111C">
            <w:pPr>
              <w:keepNext/>
              <w:tabs>
                <w:tab w:val="left" w:pos="305"/>
              </w:tabs>
              <w:spacing w:before="60" w:after="60" w:line="259" w:lineRule="auto"/>
              <w:ind w:left="305" w:hanging="30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F427B8">
              <w:rPr>
                <w:rFonts w:ascii="Arial" w:hAnsi="Arial" w:cs="Arial"/>
              </w:rPr>
              <w:t xml:space="preserve">If box </w:t>
            </w:r>
            <w:r w:rsidR="004F30E8">
              <w:rPr>
                <w:rFonts w:ascii="Arial" w:hAnsi="Arial" w:cs="Arial"/>
              </w:rPr>
              <w:t xml:space="preserve">1 </w:t>
            </w:r>
            <w:r w:rsidR="00F427B8">
              <w:rPr>
                <w:rFonts w:ascii="Arial" w:hAnsi="Arial" w:cs="Arial"/>
              </w:rPr>
              <w:t>not ticked, was there documentation to explain the variance?</w:t>
            </w:r>
            <w:r>
              <w:rPr>
                <w:rFonts w:ascii="Arial" w:hAnsi="Arial" w:cs="Arial"/>
              </w:rPr>
              <w:br/>
            </w:r>
            <w:r w:rsidRPr="00562BB4"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</w:rPr>
              <w:t xml:space="preserve"> plus free-text comment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0EBBB135" w14:textId="6554B139" w:rsidR="00A7466B" w:rsidRDefault="00A7466B" w:rsidP="0002111C">
            <w:pPr>
              <w:keepNext/>
              <w:tabs>
                <w:tab w:val="left" w:pos="299"/>
              </w:tabs>
              <w:spacing w:before="60" w:after="60" w:line="259" w:lineRule="auto"/>
              <w:ind w:left="329" w:hanging="32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F427B8">
              <w:rPr>
                <w:rFonts w:ascii="Arial" w:hAnsi="Arial" w:cs="Arial"/>
              </w:rPr>
              <w:t xml:space="preserve">Compliant with guideline if box </w:t>
            </w:r>
            <w:r w:rsidR="004F30E8">
              <w:rPr>
                <w:rFonts w:ascii="Arial" w:hAnsi="Arial" w:cs="Arial"/>
              </w:rPr>
              <w:t xml:space="preserve">1 </w:t>
            </w:r>
            <w:r w:rsidR="00F427B8">
              <w:rPr>
                <w:rFonts w:ascii="Arial" w:hAnsi="Arial" w:cs="Arial"/>
              </w:rPr>
              <w:t xml:space="preserve">ticked or an appropriate explanation from column 3. </w:t>
            </w:r>
            <w:r w:rsidR="00F427B8" w:rsidRPr="00562BB4">
              <w:rPr>
                <w:rFonts w:ascii="Arial" w:hAnsi="Arial" w:cs="Arial"/>
                <w:b/>
              </w:rPr>
              <w:t>Yes/No</w:t>
            </w:r>
            <w:r w:rsidR="00F427B8">
              <w:rPr>
                <w:rFonts w:ascii="Arial" w:hAnsi="Arial" w:cs="Arial"/>
                <w:b/>
              </w:rPr>
              <w:br/>
            </w:r>
            <w:r w:rsidR="00F427B8" w:rsidRPr="009337B3">
              <w:rPr>
                <w:rFonts w:ascii="Arial" w:hAnsi="Arial" w:cs="Arial"/>
              </w:rPr>
              <w:t>(Record if standard not applicable)</w:t>
            </w:r>
          </w:p>
        </w:tc>
      </w:tr>
      <w:tr w:rsidR="00856E0C" w:rsidRPr="00B67BA4" w14:paraId="26240B21" w14:textId="77777777" w:rsidTr="004C305B">
        <w:tblPrEx>
          <w:tblLook w:val="01E0" w:firstRow="1" w:lastRow="1" w:firstColumn="1" w:lastColumn="1" w:noHBand="0" w:noVBand="0"/>
        </w:tblPrEx>
        <w:tc>
          <w:tcPr>
            <w:tcW w:w="9628" w:type="dxa"/>
            <w:gridSpan w:val="5"/>
          </w:tcPr>
          <w:p w14:paraId="353AA6F6" w14:textId="72F8BF06" w:rsidR="00856E0C" w:rsidRPr="00B67BA4" w:rsidRDefault="00856E0C" w:rsidP="0002111C">
            <w:pPr>
              <w:keepNext/>
              <w:spacing w:before="60" w:after="60" w:line="259" w:lineRule="auto"/>
              <w:ind w:left="0"/>
              <w:jc w:val="left"/>
              <w:rPr>
                <w:rFonts w:ascii="Cambria" w:hAnsi="Cambria" w:cs="Arial"/>
                <w:sz w:val="24"/>
                <w:szCs w:val="24"/>
              </w:rPr>
            </w:pPr>
            <w:r w:rsidRPr="0055666E">
              <w:rPr>
                <w:rFonts w:ascii="Arial" w:hAnsi="Arial" w:cs="Arial"/>
                <w:b/>
              </w:rPr>
              <w:t xml:space="preserve">For patients with </w:t>
            </w:r>
            <w:r w:rsidR="00FD78AE">
              <w:rPr>
                <w:rFonts w:ascii="Arial" w:hAnsi="Arial" w:cs="Arial"/>
                <w:b/>
              </w:rPr>
              <w:t>PTCL</w:t>
            </w:r>
          </w:p>
        </w:tc>
      </w:tr>
      <w:tr w:rsidR="007C6581" w:rsidRPr="00B67BA4" w14:paraId="1582E6A0" w14:textId="77777777" w:rsidTr="004C305B">
        <w:tblPrEx>
          <w:tblLook w:val="01E0" w:firstRow="1" w:lastRow="1" w:firstColumn="1" w:lastColumn="1" w:noHBand="0" w:noVBand="0"/>
        </w:tblPrEx>
        <w:tc>
          <w:tcPr>
            <w:tcW w:w="3540" w:type="dxa"/>
          </w:tcPr>
          <w:p w14:paraId="4FCBA9B5" w14:textId="7CE4DA4C" w:rsidR="007C6581" w:rsidRDefault="007C6581" w:rsidP="0002111C">
            <w:pPr>
              <w:pStyle w:val="Standard"/>
              <w:spacing w:before="60" w:after="60" w:line="259" w:lineRule="auto"/>
            </w:pPr>
            <w:r w:rsidRPr="00367624">
              <w:rPr>
                <w:b/>
              </w:rPr>
              <w:t>1</w:t>
            </w:r>
            <w:r>
              <w:t>  Was</w:t>
            </w:r>
            <w:r>
              <w:rPr>
                <w:bCs/>
              </w:rPr>
              <w:t xml:space="preserve"> </w:t>
            </w:r>
            <w:r w:rsidRPr="00D019E1">
              <w:rPr>
                <w:bCs/>
              </w:rPr>
              <w:t>discussed at a regional lymphoma MDT</w:t>
            </w:r>
          </w:p>
        </w:tc>
        <w:tc>
          <w:tcPr>
            <w:tcW w:w="701" w:type="dxa"/>
          </w:tcPr>
          <w:p w14:paraId="533A71D9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042E7DA8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14:paraId="0697581F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51" w:type="dxa"/>
          </w:tcPr>
          <w:p w14:paraId="771C58AD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C6581" w:rsidRPr="00B67BA4" w14:paraId="142AB9C3" w14:textId="77777777" w:rsidTr="004C305B">
        <w:tblPrEx>
          <w:tblLook w:val="01E0" w:firstRow="1" w:lastRow="1" w:firstColumn="1" w:lastColumn="1" w:noHBand="0" w:noVBand="0"/>
        </w:tblPrEx>
        <w:tc>
          <w:tcPr>
            <w:tcW w:w="3540" w:type="dxa"/>
          </w:tcPr>
          <w:p w14:paraId="59D652AD" w14:textId="6100114D" w:rsidR="007C6581" w:rsidRPr="00FF5096" w:rsidRDefault="007C6581" w:rsidP="0002111C">
            <w:pPr>
              <w:pStyle w:val="Standard"/>
              <w:spacing w:before="60" w:after="60" w:line="259" w:lineRule="auto"/>
            </w:pPr>
            <w:r w:rsidRPr="00367624">
              <w:rPr>
                <w:b/>
              </w:rPr>
              <w:t>2</w:t>
            </w:r>
            <w:r>
              <w:t>  </w:t>
            </w:r>
            <w:r w:rsidR="00766543" w:rsidRPr="0002111C">
              <w:t>P</w:t>
            </w:r>
            <w:r w:rsidR="00507913" w:rsidRPr="0002111C">
              <w:t xml:space="preserve">atients </w:t>
            </w:r>
            <w:r w:rsidRPr="0002111C">
              <w:rPr>
                <w:bCs/>
              </w:rPr>
              <w:t xml:space="preserve">aged </w:t>
            </w:r>
            <w:r w:rsidR="00766543" w:rsidRPr="0002111C">
              <w:rPr>
                <w:bCs/>
              </w:rPr>
              <w:t xml:space="preserve">under </w:t>
            </w:r>
            <w:r w:rsidRPr="0002111C">
              <w:rPr>
                <w:bCs/>
              </w:rPr>
              <w:t>25 years</w:t>
            </w:r>
            <w:r w:rsidRPr="00766543">
              <w:rPr>
                <w:bCs/>
              </w:rPr>
              <w:t xml:space="preserve"> </w:t>
            </w:r>
            <w:r>
              <w:rPr>
                <w:bCs/>
              </w:rPr>
              <w:t>were</w:t>
            </w:r>
            <w:r w:rsidRPr="008152CE">
              <w:rPr>
                <w:bCs/>
              </w:rPr>
              <w:t xml:space="preserve"> discussed with a TYA specialist</w:t>
            </w:r>
          </w:p>
        </w:tc>
        <w:tc>
          <w:tcPr>
            <w:tcW w:w="701" w:type="dxa"/>
          </w:tcPr>
          <w:p w14:paraId="0E2EACCA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2FA7711D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14:paraId="45AB340F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51" w:type="dxa"/>
          </w:tcPr>
          <w:p w14:paraId="53F90B13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C6581" w:rsidRPr="00B67BA4" w14:paraId="05CB1468" w14:textId="77777777" w:rsidTr="004C305B">
        <w:tblPrEx>
          <w:tblLook w:val="01E0" w:firstRow="1" w:lastRow="1" w:firstColumn="1" w:lastColumn="1" w:noHBand="0" w:noVBand="0"/>
        </w:tblPrEx>
        <w:tc>
          <w:tcPr>
            <w:tcW w:w="3540" w:type="dxa"/>
          </w:tcPr>
          <w:p w14:paraId="462529DB" w14:textId="6B086F24" w:rsidR="007C6581" w:rsidRPr="00FF5096" w:rsidRDefault="007C6581" w:rsidP="0002111C">
            <w:pPr>
              <w:pStyle w:val="Standard"/>
              <w:spacing w:before="60" w:after="60" w:line="259" w:lineRule="auto"/>
            </w:pPr>
            <w:r>
              <w:rPr>
                <w:b/>
              </w:rPr>
              <w:t>3</w:t>
            </w:r>
            <w:r>
              <w:t>  W</w:t>
            </w:r>
            <w:r>
              <w:rPr>
                <w:bCs/>
              </w:rPr>
              <w:t>ere</w:t>
            </w:r>
            <w:r w:rsidRPr="008152CE">
              <w:rPr>
                <w:bCs/>
              </w:rPr>
              <w:t xml:space="preserve"> offered HTLV-1 screening at diagnosis regardless of subtype</w:t>
            </w:r>
          </w:p>
        </w:tc>
        <w:tc>
          <w:tcPr>
            <w:tcW w:w="701" w:type="dxa"/>
          </w:tcPr>
          <w:p w14:paraId="1AC3A35B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5E5EAA01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0ACE14B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51" w:type="dxa"/>
          </w:tcPr>
          <w:p w14:paraId="334C00E5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52883" w:rsidRPr="00B67BA4" w14:paraId="0D05532E" w14:textId="77777777" w:rsidTr="004C305B">
        <w:tblPrEx>
          <w:tblLook w:val="01E0" w:firstRow="1" w:lastRow="1" w:firstColumn="1" w:lastColumn="1" w:noHBand="0" w:noVBand="0"/>
        </w:tblPrEx>
        <w:tc>
          <w:tcPr>
            <w:tcW w:w="9628" w:type="dxa"/>
            <w:gridSpan w:val="5"/>
          </w:tcPr>
          <w:p w14:paraId="5ADA8AA2" w14:textId="0E9D5416" w:rsidR="00752883" w:rsidRPr="00752883" w:rsidRDefault="007C6581" w:rsidP="0002111C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For</w:t>
            </w:r>
            <w:r w:rsidR="00752883" w:rsidRPr="00752883">
              <w:rPr>
                <w:rFonts w:ascii="Arial" w:hAnsi="Arial" w:cs="Arial"/>
                <w:b/>
              </w:rPr>
              <w:t xml:space="preserve"> patients </w:t>
            </w:r>
            <w:r w:rsidR="00DC17E6">
              <w:rPr>
                <w:rFonts w:ascii="Arial" w:hAnsi="Arial" w:cs="Arial"/>
                <w:b/>
              </w:rPr>
              <w:t xml:space="preserve">with </w:t>
            </w:r>
            <w:r>
              <w:rPr>
                <w:rFonts w:ascii="Arial" w:hAnsi="Arial" w:cs="Arial"/>
                <w:b/>
              </w:rPr>
              <w:t>HTLV</w:t>
            </w:r>
            <w:r w:rsidR="008903A4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1+ PTCL</w:t>
            </w:r>
          </w:p>
        </w:tc>
      </w:tr>
      <w:tr w:rsidR="00E36EA4" w:rsidRPr="00B67BA4" w14:paraId="2F507D83" w14:textId="77777777" w:rsidTr="004C305B">
        <w:tblPrEx>
          <w:tblLook w:val="01E0" w:firstRow="1" w:lastRow="1" w:firstColumn="1" w:lastColumn="1" w:noHBand="0" w:noVBand="0"/>
        </w:tblPrEx>
        <w:tc>
          <w:tcPr>
            <w:tcW w:w="3540" w:type="dxa"/>
          </w:tcPr>
          <w:p w14:paraId="2054B586" w14:textId="5AA498AE" w:rsidR="00E36EA4" w:rsidRPr="00DC17E6" w:rsidRDefault="00C43570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DC17E6" w:rsidRPr="00DC17E6">
              <w:rPr>
                <w:rFonts w:ascii="Arial" w:hAnsi="Arial" w:cs="Arial"/>
              </w:rPr>
              <w:t>  </w:t>
            </w:r>
            <w:r w:rsidR="007C6581" w:rsidRPr="007C6581">
              <w:rPr>
                <w:rFonts w:ascii="Arial" w:hAnsi="Arial" w:cs="Arial"/>
              </w:rPr>
              <w:t>W</w:t>
            </w:r>
            <w:r w:rsidR="007C6581" w:rsidRPr="007C6581">
              <w:rPr>
                <w:rFonts w:ascii="Arial" w:hAnsi="Arial" w:cs="Arial"/>
                <w:bCs/>
              </w:rPr>
              <w:t>ere discussed with the national HTLV-1 service</w:t>
            </w:r>
          </w:p>
        </w:tc>
        <w:tc>
          <w:tcPr>
            <w:tcW w:w="701" w:type="dxa"/>
          </w:tcPr>
          <w:p w14:paraId="6CC496CA" w14:textId="77777777" w:rsidR="00E36EA4" w:rsidRPr="00B67BA4" w:rsidRDefault="00E36EA4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CD9BDAA" w14:textId="77777777" w:rsidR="00E36EA4" w:rsidRPr="00B67BA4" w:rsidRDefault="00E36EA4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14:paraId="584E0D61" w14:textId="77777777" w:rsidR="00E36EA4" w:rsidRPr="00B67BA4" w:rsidRDefault="00E36EA4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5642E49" w14:textId="77777777" w:rsidR="00E36EA4" w:rsidRPr="00B67BA4" w:rsidRDefault="00E36EA4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563A25" w:rsidRPr="00B67BA4" w14:paraId="255E591E" w14:textId="77777777" w:rsidTr="00DB24F2">
        <w:tblPrEx>
          <w:tblLook w:val="01E0" w:firstRow="1" w:lastRow="1" w:firstColumn="1" w:lastColumn="1" w:noHBand="0" w:noVBand="0"/>
        </w:tblPrEx>
        <w:tc>
          <w:tcPr>
            <w:tcW w:w="9628" w:type="dxa"/>
            <w:gridSpan w:val="5"/>
          </w:tcPr>
          <w:p w14:paraId="136BB07D" w14:textId="433CA343" w:rsidR="00563A25" w:rsidRPr="00563A25" w:rsidRDefault="007C6581" w:rsidP="0002111C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52883">
              <w:rPr>
                <w:rFonts w:ascii="Arial" w:hAnsi="Arial" w:cs="Arial"/>
                <w:b/>
              </w:rPr>
              <w:t xml:space="preserve">For patients </w:t>
            </w:r>
            <w:r>
              <w:rPr>
                <w:rFonts w:ascii="Arial" w:hAnsi="Arial" w:cs="Arial"/>
                <w:b/>
              </w:rPr>
              <w:t>with T-PLL</w:t>
            </w:r>
          </w:p>
        </w:tc>
      </w:tr>
      <w:tr w:rsidR="00563A25" w:rsidRPr="00B67BA4" w14:paraId="1CF81845" w14:textId="77777777" w:rsidTr="004C305B">
        <w:tblPrEx>
          <w:tblLook w:val="01E0" w:firstRow="1" w:lastRow="1" w:firstColumn="1" w:lastColumn="1" w:noHBand="0" w:noVBand="0"/>
        </w:tblPrEx>
        <w:tc>
          <w:tcPr>
            <w:tcW w:w="3540" w:type="dxa"/>
          </w:tcPr>
          <w:p w14:paraId="179E4EB5" w14:textId="6DED0A86" w:rsidR="00563A25" w:rsidRPr="00563A25" w:rsidRDefault="00C43570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563A25" w:rsidRPr="00563A25">
              <w:rPr>
                <w:rFonts w:ascii="Arial" w:hAnsi="Arial" w:cs="Arial"/>
                <w:bCs/>
              </w:rPr>
              <w:t>  </w:t>
            </w:r>
            <w:r w:rsidR="00D818F1">
              <w:rPr>
                <w:rFonts w:ascii="Arial" w:hAnsi="Arial" w:cs="Arial"/>
              </w:rPr>
              <w:t>P</w:t>
            </w:r>
            <w:r w:rsidR="007C6581" w:rsidRPr="0002111C">
              <w:rPr>
                <w:rFonts w:ascii="Arial" w:hAnsi="Arial" w:cs="Arial"/>
              </w:rPr>
              <w:t>atients receiving alemtuzumab</w:t>
            </w:r>
            <w:r w:rsidR="007C6581" w:rsidRPr="00563A25">
              <w:rPr>
                <w:rFonts w:ascii="Arial" w:hAnsi="Arial" w:cs="Arial"/>
                <w:i/>
                <w:iCs/>
              </w:rPr>
              <w:t xml:space="preserve"> </w:t>
            </w:r>
            <w:r w:rsidR="007C6581" w:rsidRPr="00563A25">
              <w:rPr>
                <w:rFonts w:ascii="Arial" w:hAnsi="Arial" w:cs="Arial"/>
                <w:bCs/>
              </w:rPr>
              <w:t>w</w:t>
            </w:r>
            <w:r w:rsidR="00DB65B8">
              <w:rPr>
                <w:rFonts w:ascii="Arial" w:hAnsi="Arial" w:cs="Arial"/>
                <w:bCs/>
              </w:rPr>
              <w:t>ere</w:t>
            </w:r>
            <w:r w:rsidR="007C6581" w:rsidRPr="00563A25">
              <w:rPr>
                <w:rFonts w:ascii="Arial" w:hAnsi="Arial" w:cs="Arial"/>
                <w:bCs/>
              </w:rPr>
              <w:t xml:space="preserve"> offered antimicrobial prophylaxis active against </w:t>
            </w:r>
            <w:r w:rsidR="007C6581" w:rsidRPr="00563A25">
              <w:rPr>
                <w:rFonts w:ascii="Arial" w:hAnsi="Arial" w:cs="Arial"/>
                <w:bCs/>
                <w:iCs/>
              </w:rPr>
              <w:t>herpes zoster</w:t>
            </w:r>
            <w:r w:rsidR="007C6581" w:rsidRPr="00563A25">
              <w:rPr>
                <w:rFonts w:ascii="Arial" w:hAnsi="Arial" w:cs="Arial"/>
                <w:bCs/>
              </w:rPr>
              <w:t xml:space="preserve"> and </w:t>
            </w:r>
            <w:r w:rsidR="008903A4">
              <w:rPr>
                <w:rFonts w:ascii="Arial" w:hAnsi="Arial" w:cs="Arial"/>
                <w:bCs/>
                <w:i/>
              </w:rPr>
              <w:t>p</w:t>
            </w:r>
            <w:r w:rsidR="007C6581" w:rsidRPr="00563A25">
              <w:rPr>
                <w:rFonts w:ascii="Arial" w:hAnsi="Arial" w:cs="Arial"/>
                <w:bCs/>
                <w:i/>
              </w:rPr>
              <w:t>. </w:t>
            </w:r>
            <w:proofErr w:type="spellStart"/>
            <w:r w:rsidR="007C6581" w:rsidRPr="00563A25">
              <w:rPr>
                <w:rFonts w:ascii="Arial" w:hAnsi="Arial" w:cs="Arial"/>
                <w:bCs/>
                <w:i/>
              </w:rPr>
              <w:t>jirovecii</w:t>
            </w:r>
            <w:proofErr w:type="spellEnd"/>
            <w:r w:rsidR="007C6581" w:rsidRPr="00563A25">
              <w:rPr>
                <w:rFonts w:ascii="Arial" w:hAnsi="Arial" w:cs="Arial"/>
                <w:bCs/>
              </w:rPr>
              <w:t>, along with regular</w:t>
            </w:r>
            <w:r w:rsidR="008903A4">
              <w:rPr>
                <w:rFonts w:ascii="Arial" w:hAnsi="Arial" w:cs="Arial"/>
                <w:bCs/>
              </w:rPr>
              <w:t xml:space="preserve"> </w:t>
            </w:r>
            <w:r w:rsidR="008903A4" w:rsidRPr="008903A4">
              <w:rPr>
                <w:rFonts w:ascii="Arial" w:hAnsi="Arial" w:cs="Arial"/>
                <w:bCs/>
              </w:rPr>
              <w:t>CMV qPCR</w:t>
            </w:r>
          </w:p>
        </w:tc>
        <w:tc>
          <w:tcPr>
            <w:tcW w:w="701" w:type="dxa"/>
          </w:tcPr>
          <w:p w14:paraId="2F3E20FE" w14:textId="77777777" w:rsidR="00563A25" w:rsidRPr="00B67BA4" w:rsidRDefault="00563A25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D847355" w14:textId="77777777" w:rsidR="00563A25" w:rsidRPr="00B67BA4" w:rsidRDefault="00563A25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14:paraId="5D497385" w14:textId="77777777" w:rsidR="00563A25" w:rsidRPr="00B67BA4" w:rsidRDefault="00563A25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51" w:type="dxa"/>
          </w:tcPr>
          <w:p w14:paraId="65E1A808" w14:textId="77777777" w:rsidR="00563A25" w:rsidRPr="00B67BA4" w:rsidRDefault="00563A25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C6581" w:rsidRPr="00B67BA4" w14:paraId="542AC5F6" w14:textId="77777777" w:rsidTr="00F231D8">
        <w:tblPrEx>
          <w:tblLook w:val="01E0" w:firstRow="1" w:lastRow="1" w:firstColumn="1" w:lastColumn="1" w:noHBand="0" w:noVBand="0"/>
        </w:tblPrEx>
        <w:tc>
          <w:tcPr>
            <w:tcW w:w="9628" w:type="dxa"/>
            <w:gridSpan w:val="5"/>
          </w:tcPr>
          <w:p w14:paraId="35B3F780" w14:textId="6AB99959" w:rsidR="007C6581" w:rsidRPr="00563A25" w:rsidRDefault="007C6581" w:rsidP="0002111C">
            <w:pPr>
              <w:keepNext/>
              <w:spacing w:before="60" w:after="60" w:line="259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52883">
              <w:rPr>
                <w:rFonts w:ascii="Arial" w:hAnsi="Arial" w:cs="Arial"/>
                <w:b/>
              </w:rPr>
              <w:t xml:space="preserve">For patients </w:t>
            </w:r>
            <w:r>
              <w:rPr>
                <w:rFonts w:ascii="Arial" w:hAnsi="Arial" w:cs="Arial"/>
                <w:b/>
              </w:rPr>
              <w:t>with systemic ALCL</w:t>
            </w:r>
          </w:p>
        </w:tc>
      </w:tr>
      <w:tr w:rsidR="007C6581" w:rsidRPr="00B67BA4" w14:paraId="5A6A38C3" w14:textId="77777777" w:rsidTr="00F231D8">
        <w:tblPrEx>
          <w:tblLook w:val="01E0" w:firstRow="1" w:lastRow="1" w:firstColumn="1" w:lastColumn="1" w:noHBand="0" w:noVBand="0"/>
        </w:tblPrEx>
        <w:tc>
          <w:tcPr>
            <w:tcW w:w="3540" w:type="dxa"/>
          </w:tcPr>
          <w:p w14:paraId="3083EF84" w14:textId="39B99D2F" w:rsidR="007C6581" w:rsidRPr="00563A25" w:rsidRDefault="00C43570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C6581" w:rsidRPr="00563A25">
              <w:rPr>
                <w:rFonts w:ascii="Arial" w:hAnsi="Arial" w:cs="Arial"/>
                <w:b/>
              </w:rPr>
              <w:t> </w:t>
            </w:r>
            <w:r w:rsidR="007C6581" w:rsidRPr="00563A25">
              <w:rPr>
                <w:rFonts w:ascii="Arial" w:hAnsi="Arial" w:cs="Arial"/>
                <w:bCs/>
                <w:i/>
                <w:iCs/>
              </w:rPr>
              <w:t> </w:t>
            </w:r>
            <w:r w:rsidR="007C6581" w:rsidRPr="007C6581">
              <w:rPr>
                <w:rFonts w:ascii="Arial" w:hAnsi="Arial" w:cs="Arial"/>
                <w:bCs/>
              </w:rPr>
              <w:t>Were offered six cycles of CHP-BV as first-line therapy unless contraindicated</w:t>
            </w:r>
          </w:p>
        </w:tc>
        <w:tc>
          <w:tcPr>
            <w:tcW w:w="701" w:type="dxa"/>
          </w:tcPr>
          <w:p w14:paraId="50887098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1D5468AA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14:paraId="4A3FF562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51" w:type="dxa"/>
          </w:tcPr>
          <w:p w14:paraId="12B59037" w14:textId="77777777" w:rsidR="007C6581" w:rsidRPr="00B67BA4" w:rsidRDefault="007C6581" w:rsidP="0002111C">
            <w:pPr>
              <w:keepNext/>
              <w:spacing w:before="60" w:after="60" w:line="259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1CFD8944" w14:textId="77777777" w:rsidR="00A47219" w:rsidRDefault="00A47219">
      <w:pPr>
        <w:ind w:left="0"/>
        <w:rPr>
          <w:rFonts w:ascii="Arial" w:hAnsi="Arial" w:cs="Arial"/>
          <w:bCs/>
        </w:rPr>
      </w:pPr>
    </w:p>
    <w:p w14:paraId="4587B5B1" w14:textId="20CFDA22" w:rsidR="00A47219" w:rsidRDefault="00A7466B">
      <w:pPr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0"/>
        <w:gridCol w:w="1305"/>
        <w:gridCol w:w="1152"/>
        <w:gridCol w:w="1084"/>
        <w:gridCol w:w="1428"/>
        <w:gridCol w:w="1288"/>
        <w:gridCol w:w="1381"/>
      </w:tblGrid>
      <w:tr w:rsidR="00A47219" w14:paraId="6DB1CB5C" w14:textId="77777777" w:rsidTr="008903A4">
        <w:tc>
          <w:tcPr>
            <w:tcW w:w="9628" w:type="dxa"/>
            <w:gridSpan w:val="7"/>
          </w:tcPr>
          <w:p w14:paraId="025225CA" w14:textId="77777777" w:rsidR="00EA1BA3" w:rsidRDefault="005E2396" w:rsidP="0002111C">
            <w:pPr>
              <w:spacing w:before="60" w:after="6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Audit action plan</w:t>
            </w:r>
          </w:p>
          <w:p w14:paraId="24806BBC" w14:textId="76B4E876" w:rsidR="00A47219" w:rsidRDefault="005E2396" w:rsidP="0002111C">
            <w:pPr>
              <w:spacing w:after="120" w:line="259" w:lineRule="auto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FE505C">
              <w:rPr>
                <w:rFonts w:ascii="Arial" w:hAnsi="Arial" w:cs="Arial"/>
                <w:color w:val="000000"/>
              </w:rPr>
              <w:t>An</w:t>
            </w:r>
            <w:r w:rsidR="001B1C6C">
              <w:rPr>
                <w:rFonts w:ascii="Arial" w:hAnsi="Arial" w:cs="Arial"/>
                <w:color w:val="000000"/>
              </w:rPr>
              <w:t xml:space="preserve"> audit of compliance with the </w:t>
            </w:r>
            <w:r w:rsidR="008903A4">
              <w:rPr>
                <w:rFonts w:ascii="Arial" w:hAnsi="Arial" w:cs="Arial"/>
                <w:color w:val="000000"/>
              </w:rPr>
              <w:t>British Society for Haematology</w:t>
            </w:r>
            <w:r w:rsidR="008903A4" w:rsidRPr="00FE505C">
              <w:rPr>
                <w:rFonts w:ascii="Arial" w:hAnsi="Arial" w:cs="Arial"/>
                <w:color w:val="000000"/>
              </w:rPr>
              <w:t xml:space="preserve"> </w:t>
            </w:r>
            <w:r w:rsidRPr="00FE505C">
              <w:rPr>
                <w:rFonts w:ascii="Arial" w:hAnsi="Arial" w:cs="Arial"/>
                <w:color w:val="000000"/>
              </w:rPr>
              <w:t xml:space="preserve">guideline on </w:t>
            </w:r>
            <w:r w:rsidR="001C583C">
              <w:rPr>
                <w:rFonts w:ascii="Arial" w:eastAsia="Times New Roman" w:hAnsi="Arial" w:cs="Arial"/>
                <w:lang w:eastAsia="en-GB"/>
              </w:rPr>
              <w:t>the management of mature T-cell and NK-cell lymphomas</w:t>
            </w:r>
            <w:r w:rsidR="005A471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CF3D62" w:rsidRPr="00CF3D62">
              <w:rPr>
                <w:rFonts w:ascii="Arial" w:eastAsia="Times New Roman" w:hAnsi="Arial" w:cs="Arial"/>
                <w:lang w:eastAsia="en-GB"/>
              </w:rPr>
              <w:t>(excluding cutaneous T-cell lymphoma)</w:t>
            </w:r>
          </w:p>
        </w:tc>
      </w:tr>
      <w:tr w:rsidR="00A47219" w14:paraId="2EE57C28" w14:textId="77777777" w:rsidTr="008903A4">
        <w:tc>
          <w:tcPr>
            <w:tcW w:w="1990" w:type="dxa"/>
          </w:tcPr>
          <w:p w14:paraId="58D384E0" w14:textId="77777777" w:rsidR="00A47219" w:rsidRDefault="005E2396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r</w:t>
            </w:r>
            <w:r w:rsidR="00A47219">
              <w:rPr>
                <w:rFonts w:ascii="Arial" w:hAnsi="Arial" w:cs="Arial"/>
                <w:b/>
                <w:bCs/>
              </w:rPr>
              <w:t>ecommendation</w:t>
            </w:r>
          </w:p>
          <w:p w14:paraId="459D7A57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5" w:type="dxa"/>
          </w:tcPr>
          <w:p w14:paraId="456B23D6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152" w:type="dxa"/>
          </w:tcPr>
          <w:p w14:paraId="3A4AA67A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084" w:type="dxa"/>
          </w:tcPr>
          <w:p w14:paraId="5CE17913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scale</w:t>
            </w:r>
          </w:p>
        </w:tc>
        <w:tc>
          <w:tcPr>
            <w:tcW w:w="1428" w:type="dxa"/>
          </w:tcPr>
          <w:p w14:paraId="50EEB72D" w14:textId="77777777" w:rsidR="00A47219" w:rsidRDefault="005E2396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Barriers and c</w:t>
            </w:r>
            <w:r w:rsidR="00A47219">
              <w:rPr>
                <w:rFonts w:ascii="Arial" w:hAnsi="Arial" w:cs="Arial"/>
                <w:b/>
                <w:bCs/>
              </w:rPr>
              <w:t>onstraints</w:t>
            </w:r>
          </w:p>
        </w:tc>
        <w:tc>
          <w:tcPr>
            <w:tcW w:w="1288" w:type="dxa"/>
          </w:tcPr>
          <w:p w14:paraId="70F61B0D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381" w:type="dxa"/>
          </w:tcPr>
          <w:p w14:paraId="2C78BC88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A47219" w14:paraId="24E11BC5" w14:textId="77777777" w:rsidTr="008903A4">
        <w:tc>
          <w:tcPr>
            <w:tcW w:w="1990" w:type="dxa"/>
          </w:tcPr>
          <w:p w14:paraId="34D8E0B3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7F310884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1720B9D3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5D858F85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67DFC02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0DDC568B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58F0BDF4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26B420F8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67619013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7C066942" w14:textId="77777777" w:rsidTr="008903A4">
        <w:tc>
          <w:tcPr>
            <w:tcW w:w="1990" w:type="dxa"/>
          </w:tcPr>
          <w:p w14:paraId="6AF31980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0B26218A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50E15D1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70BDDAED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3E84BB8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051BB0A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12555C8D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6FCC4B30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0B6D5299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20B8C44F" w14:textId="77777777" w:rsidTr="008903A4">
        <w:tc>
          <w:tcPr>
            <w:tcW w:w="1990" w:type="dxa"/>
          </w:tcPr>
          <w:p w14:paraId="1D00F33A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487FC16D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82C45C4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057D61E0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3620708B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158A57BF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7754E64B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0F13B606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023AB184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2BE80E89" w14:textId="77777777" w:rsidTr="008903A4">
        <w:tc>
          <w:tcPr>
            <w:tcW w:w="1990" w:type="dxa"/>
          </w:tcPr>
          <w:p w14:paraId="6B4FDCBF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71D47841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7F1652F7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1679C997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59376312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3CE092BD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0E6A3767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1BDC1C9F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6642CE0F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4CA002E9" w14:textId="77777777" w:rsidTr="008903A4">
        <w:tc>
          <w:tcPr>
            <w:tcW w:w="1990" w:type="dxa"/>
          </w:tcPr>
          <w:p w14:paraId="008265A1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25818C62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75F35C99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14344C7D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35670CAF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4D5E7508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3BBC9D7B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4DF24EE6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63C9B7E0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43263D52" w14:textId="77777777" w:rsidTr="008903A4">
        <w:tc>
          <w:tcPr>
            <w:tcW w:w="1990" w:type="dxa"/>
          </w:tcPr>
          <w:p w14:paraId="319C8C1F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5DB8552E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03A8B057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798198E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7BD49316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251BAEDA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320F9E6A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1C3D0B59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6CE909B4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3AE48F6F" w14:textId="77777777" w:rsidTr="008903A4">
        <w:tc>
          <w:tcPr>
            <w:tcW w:w="1990" w:type="dxa"/>
          </w:tcPr>
          <w:p w14:paraId="2D0B413E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23D2A1D2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296B4E7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4AA6E3ED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7F82C50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56CE6846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47833CA4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10BA390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532B3030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0C419AB5" w14:textId="77777777" w:rsidTr="008903A4">
        <w:tc>
          <w:tcPr>
            <w:tcW w:w="1990" w:type="dxa"/>
          </w:tcPr>
          <w:p w14:paraId="6D5F61A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7F330734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3A862AE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4DDE92BD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6EB03B38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79DCB605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233FE690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657CE8D1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03FC9736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02FB3D10" w14:textId="77777777" w:rsidTr="008903A4">
        <w:tc>
          <w:tcPr>
            <w:tcW w:w="1990" w:type="dxa"/>
          </w:tcPr>
          <w:p w14:paraId="4BD8CC0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5718CE56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6DB09B3F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2B40B035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6BB49F84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0B5888F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5E8BF31A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39FA1831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4A7EF148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5BBB76BB" w14:textId="77777777" w:rsidTr="008903A4">
        <w:tc>
          <w:tcPr>
            <w:tcW w:w="1990" w:type="dxa"/>
          </w:tcPr>
          <w:p w14:paraId="7B62437C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03C3E07E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0C87F04F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561AB275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593D0F57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16825878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2188C199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1677C16F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0B44714E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A47219" w14:paraId="7F523A0C" w14:textId="77777777" w:rsidTr="008903A4">
        <w:tc>
          <w:tcPr>
            <w:tcW w:w="1990" w:type="dxa"/>
          </w:tcPr>
          <w:p w14:paraId="41C6C305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01345D8E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  <w:p w14:paraId="50F5AFAE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05" w:type="dxa"/>
          </w:tcPr>
          <w:p w14:paraId="7C618EA9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152" w:type="dxa"/>
          </w:tcPr>
          <w:p w14:paraId="45AAD6A4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84" w:type="dxa"/>
          </w:tcPr>
          <w:p w14:paraId="45F92520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28" w:type="dxa"/>
          </w:tcPr>
          <w:p w14:paraId="02120469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8" w:type="dxa"/>
          </w:tcPr>
          <w:p w14:paraId="083FE413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</w:tcPr>
          <w:p w14:paraId="161D5BAA" w14:textId="77777777" w:rsidR="00A47219" w:rsidRDefault="00A47219" w:rsidP="0002111C">
            <w:pPr>
              <w:spacing w:before="60" w:after="60" w:line="259" w:lineRule="auto"/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50D1906D" w14:textId="77777777" w:rsidR="00A47219" w:rsidRDefault="00A47219"/>
    <w:p w14:paraId="129E9791" w14:textId="77777777" w:rsidR="00A47219" w:rsidRDefault="00A47219">
      <w:pPr>
        <w:ind w:left="0"/>
        <w:rPr>
          <w:rFonts w:ascii="Arial" w:hAnsi="Arial" w:cs="Arial"/>
          <w:bCs/>
        </w:rPr>
      </w:pPr>
    </w:p>
    <w:sectPr w:rsidR="00A4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5261" w14:textId="77777777" w:rsidR="009A6EB8" w:rsidRDefault="009A6EB8">
      <w:r>
        <w:separator/>
      </w:r>
    </w:p>
    <w:p w14:paraId="06433C5E" w14:textId="77777777" w:rsidR="009A6EB8" w:rsidRDefault="009A6EB8"/>
    <w:p w14:paraId="5C6F8FA1" w14:textId="77777777" w:rsidR="009A6EB8" w:rsidRDefault="009A6EB8" w:rsidP="000A78C3"/>
  </w:endnote>
  <w:endnote w:type="continuationSeparator" w:id="0">
    <w:p w14:paraId="17471040" w14:textId="77777777" w:rsidR="009A6EB8" w:rsidRDefault="009A6EB8">
      <w:r>
        <w:continuationSeparator/>
      </w:r>
    </w:p>
    <w:p w14:paraId="1C471782" w14:textId="77777777" w:rsidR="009A6EB8" w:rsidRDefault="009A6EB8"/>
    <w:p w14:paraId="6E5D88CD" w14:textId="77777777" w:rsidR="009A6EB8" w:rsidRDefault="009A6EB8" w:rsidP="000A7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Malgun Gothic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3433" w14:textId="77777777" w:rsidR="00565975" w:rsidRDefault="00565975">
    <w:pPr>
      <w:pStyle w:val="Footer"/>
    </w:pPr>
  </w:p>
  <w:p w14:paraId="0B4D6EF5" w14:textId="77777777" w:rsidR="006903F2" w:rsidRDefault="006903F2"/>
  <w:p w14:paraId="34A66C18" w14:textId="77777777" w:rsidR="006903F2" w:rsidRDefault="006903F2" w:rsidP="000A78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1D5F" w14:textId="6ED7EA1F" w:rsidR="00A47219" w:rsidRDefault="00042FFB" w:rsidP="0002111C">
    <w:pPr>
      <w:tabs>
        <w:tab w:val="left" w:pos="1701"/>
        <w:tab w:val="left" w:pos="4536"/>
        <w:tab w:val="left" w:pos="6663"/>
        <w:tab w:val="left" w:pos="9072"/>
      </w:tabs>
      <w:ind w:left="0"/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7216" behindDoc="1" locked="0" layoutInCell="1" allowOverlap="0" wp14:anchorId="17AF16A8" wp14:editId="7F4A1181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6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02346">
      <w:rPr>
        <w:rFonts w:ascii="Arial" w:hAnsi="Arial" w:cs="Arial"/>
        <w:sz w:val="20"/>
        <w:szCs w:val="20"/>
      </w:rPr>
      <w:t>CEff</w:t>
    </w:r>
    <w:proofErr w:type="spellEnd"/>
    <w:r w:rsidR="00A47219">
      <w:rPr>
        <w:rFonts w:ascii="Arial" w:hAnsi="Arial" w:cs="Arial"/>
        <w:sz w:val="20"/>
        <w:szCs w:val="20"/>
      </w:rPr>
      <w:tab/>
    </w:r>
    <w:r w:rsidR="006A7237">
      <w:rPr>
        <w:rFonts w:ascii="Arial" w:hAnsi="Arial" w:cs="Arial"/>
        <w:sz w:val="20"/>
        <w:szCs w:val="20"/>
      </w:rPr>
      <w:t>3</w:t>
    </w:r>
    <w:r w:rsidR="008903A4">
      <w:rPr>
        <w:rFonts w:ascii="Arial" w:hAnsi="Arial" w:cs="Arial"/>
        <w:sz w:val="20"/>
        <w:szCs w:val="20"/>
      </w:rPr>
      <w:t>1</w:t>
    </w:r>
    <w:r w:rsidR="006A7237">
      <w:rPr>
        <w:rFonts w:ascii="Arial" w:hAnsi="Arial" w:cs="Arial"/>
        <w:sz w:val="20"/>
        <w:szCs w:val="20"/>
      </w:rPr>
      <w:t>05</w:t>
    </w:r>
    <w:r w:rsidR="0047261C">
      <w:rPr>
        <w:rFonts w:ascii="Arial" w:hAnsi="Arial" w:cs="Arial"/>
        <w:sz w:val="20"/>
        <w:szCs w:val="20"/>
      </w:rPr>
      <w:t>22</w:t>
    </w:r>
    <w:r w:rsidR="00A47219">
      <w:rPr>
        <w:rFonts w:ascii="Arial" w:hAnsi="Arial" w:cs="Arial"/>
        <w:sz w:val="20"/>
        <w:szCs w:val="20"/>
      </w:rPr>
      <w:tab/>
    </w:r>
    <w:r w:rsidR="00A47219">
      <w:rPr>
        <w:rFonts w:ascii="Arial" w:hAnsi="Arial" w:cs="Arial"/>
        <w:sz w:val="20"/>
        <w:szCs w:val="20"/>
      </w:rPr>
      <w:fldChar w:fldCharType="begin"/>
    </w:r>
    <w:r w:rsidR="00A47219">
      <w:rPr>
        <w:rFonts w:ascii="Arial" w:hAnsi="Arial" w:cs="Arial"/>
        <w:sz w:val="20"/>
        <w:szCs w:val="20"/>
      </w:rPr>
      <w:instrText xml:space="preserve"> PAGE   \* MERGEFORMAT </w:instrText>
    </w:r>
    <w:r w:rsidR="00A47219">
      <w:rPr>
        <w:rFonts w:ascii="Arial" w:hAnsi="Arial" w:cs="Arial"/>
        <w:sz w:val="20"/>
        <w:szCs w:val="20"/>
      </w:rPr>
      <w:fldChar w:fldCharType="separate"/>
    </w:r>
    <w:r w:rsidR="00FB6CD8">
      <w:rPr>
        <w:rFonts w:ascii="Arial" w:hAnsi="Arial" w:cs="Arial"/>
        <w:noProof/>
        <w:sz w:val="20"/>
        <w:szCs w:val="20"/>
      </w:rPr>
      <w:t>4</w:t>
    </w:r>
    <w:r w:rsidR="00A47219">
      <w:rPr>
        <w:rFonts w:ascii="Arial" w:hAnsi="Arial" w:cs="Arial"/>
        <w:sz w:val="20"/>
        <w:szCs w:val="20"/>
      </w:rPr>
      <w:fldChar w:fldCharType="end"/>
    </w:r>
    <w:r w:rsidR="00A47219">
      <w:rPr>
        <w:rFonts w:ascii="Arial" w:hAnsi="Arial" w:cs="Arial"/>
        <w:sz w:val="20"/>
        <w:szCs w:val="20"/>
      </w:rPr>
      <w:tab/>
      <w:t>V</w:t>
    </w:r>
    <w:r w:rsidR="00BE7B59">
      <w:rPr>
        <w:rFonts w:ascii="Arial" w:hAnsi="Arial" w:cs="Arial"/>
        <w:sz w:val="20"/>
        <w:szCs w:val="20"/>
      </w:rPr>
      <w:t>1</w:t>
    </w:r>
    <w:r w:rsidR="00A47219">
      <w:rPr>
        <w:rFonts w:ascii="Arial" w:hAnsi="Arial" w:cs="Arial"/>
        <w:sz w:val="20"/>
        <w:szCs w:val="20"/>
      </w:rPr>
      <w:tab/>
    </w:r>
    <w:r w:rsidR="00302346">
      <w:rPr>
        <w:rFonts w:ascii="Arial" w:hAnsi="Arial" w:cs="Arial"/>
        <w:sz w:val="20"/>
        <w:szCs w:val="20"/>
      </w:rPr>
      <w:t xml:space="preserve">Final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B380" w14:textId="132B568A" w:rsidR="00A47219" w:rsidRDefault="00462E4C" w:rsidP="0002111C">
    <w:pPr>
      <w:tabs>
        <w:tab w:val="left" w:pos="1701"/>
        <w:tab w:val="left" w:pos="2835"/>
        <w:tab w:val="left" w:pos="4536"/>
        <w:tab w:val="left" w:pos="5103"/>
        <w:tab w:val="left" w:pos="5670"/>
        <w:tab w:val="left" w:pos="7938"/>
      </w:tabs>
      <w:ind w:left="0"/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B6E6A8A" wp14:editId="53D72BB7">
          <wp:simplePos x="0" y="0"/>
          <wp:positionH relativeFrom="column">
            <wp:posOffset>4061460</wp:posOffset>
          </wp:positionH>
          <wp:positionV relativeFrom="paragraph">
            <wp:posOffset>377190</wp:posOffset>
          </wp:positionV>
          <wp:extent cx="2130425" cy="429895"/>
          <wp:effectExtent l="0" t="0" r="3175" b="8255"/>
          <wp:wrapSquare wrapText="bothSides"/>
          <wp:docPr id="9" name="Picture 9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2FFB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28E71947" wp14:editId="00B4F2F6">
          <wp:extent cx="723900" cy="742950"/>
          <wp:effectExtent l="0" t="0" r="0" b="0"/>
          <wp:docPr id="3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2FFB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6192" behindDoc="1" locked="0" layoutInCell="1" allowOverlap="0" wp14:anchorId="4F73F5EC" wp14:editId="38D974ED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5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219">
      <w:rPr>
        <w:rFonts w:ascii="Arial" w:hAnsi="Arial" w:cs="Arial"/>
        <w:sz w:val="20"/>
        <w:szCs w:val="20"/>
      </w:rPr>
      <w:tab/>
    </w:r>
    <w:proofErr w:type="spellStart"/>
    <w:r w:rsidR="00001B41">
      <w:rPr>
        <w:rFonts w:ascii="Arial" w:hAnsi="Arial" w:cs="Arial"/>
        <w:sz w:val="20"/>
        <w:szCs w:val="20"/>
      </w:rPr>
      <w:t>CEff</w:t>
    </w:r>
    <w:proofErr w:type="spellEnd"/>
    <w:r w:rsidR="00A47219">
      <w:rPr>
        <w:rFonts w:ascii="Arial" w:hAnsi="Arial" w:cs="Arial"/>
        <w:sz w:val="20"/>
        <w:szCs w:val="20"/>
      </w:rPr>
      <w:tab/>
    </w:r>
    <w:r w:rsidR="006A7237">
      <w:rPr>
        <w:rFonts w:ascii="Arial" w:hAnsi="Arial" w:cs="Arial"/>
        <w:sz w:val="20"/>
        <w:szCs w:val="20"/>
      </w:rPr>
      <w:t>3</w:t>
    </w:r>
    <w:r w:rsidR="008903A4">
      <w:rPr>
        <w:rFonts w:ascii="Arial" w:hAnsi="Arial" w:cs="Arial"/>
        <w:sz w:val="20"/>
        <w:szCs w:val="20"/>
      </w:rPr>
      <w:t>1</w:t>
    </w:r>
    <w:r w:rsidR="007D225C">
      <w:rPr>
        <w:rFonts w:ascii="Arial" w:hAnsi="Arial" w:cs="Arial"/>
        <w:sz w:val="20"/>
        <w:szCs w:val="20"/>
      </w:rPr>
      <w:t>05</w:t>
    </w:r>
    <w:r w:rsidR="00001B41">
      <w:rPr>
        <w:rFonts w:ascii="Arial" w:hAnsi="Arial" w:cs="Arial"/>
        <w:sz w:val="20"/>
        <w:szCs w:val="20"/>
      </w:rPr>
      <w:t>22</w:t>
    </w:r>
    <w:r w:rsidR="00A47219">
      <w:rPr>
        <w:rFonts w:ascii="Arial" w:hAnsi="Arial" w:cs="Arial"/>
        <w:sz w:val="20"/>
        <w:szCs w:val="20"/>
      </w:rPr>
      <w:tab/>
    </w:r>
    <w:r w:rsidR="00A47219">
      <w:rPr>
        <w:rFonts w:ascii="Arial" w:hAnsi="Arial" w:cs="Arial"/>
        <w:sz w:val="20"/>
        <w:szCs w:val="20"/>
      </w:rPr>
      <w:fldChar w:fldCharType="begin"/>
    </w:r>
    <w:r w:rsidR="00A47219">
      <w:rPr>
        <w:rFonts w:ascii="Arial" w:hAnsi="Arial" w:cs="Arial"/>
        <w:sz w:val="20"/>
        <w:szCs w:val="20"/>
      </w:rPr>
      <w:instrText xml:space="preserve"> PAGE   \* MERGEFORMAT </w:instrText>
    </w:r>
    <w:r w:rsidR="00A47219">
      <w:rPr>
        <w:rFonts w:ascii="Arial" w:hAnsi="Arial" w:cs="Arial"/>
        <w:sz w:val="20"/>
        <w:szCs w:val="20"/>
      </w:rPr>
      <w:fldChar w:fldCharType="separate"/>
    </w:r>
    <w:r w:rsidR="00FB6CD8">
      <w:rPr>
        <w:rFonts w:ascii="Arial" w:hAnsi="Arial" w:cs="Arial"/>
        <w:noProof/>
        <w:sz w:val="20"/>
        <w:szCs w:val="20"/>
      </w:rPr>
      <w:t>1</w:t>
    </w:r>
    <w:r w:rsidR="00A47219">
      <w:rPr>
        <w:rFonts w:ascii="Arial" w:hAnsi="Arial" w:cs="Arial"/>
        <w:sz w:val="20"/>
        <w:szCs w:val="20"/>
      </w:rPr>
      <w:fldChar w:fldCharType="end"/>
    </w:r>
    <w:r w:rsidR="00A47219">
      <w:rPr>
        <w:rFonts w:ascii="Arial" w:hAnsi="Arial" w:cs="Arial"/>
        <w:sz w:val="20"/>
        <w:szCs w:val="20"/>
      </w:rPr>
      <w:tab/>
      <w:t>V</w:t>
    </w:r>
    <w:r w:rsidR="00CB7CB3">
      <w:rPr>
        <w:rFonts w:ascii="Arial" w:hAnsi="Arial" w:cs="Arial"/>
        <w:sz w:val="20"/>
        <w:szCs w:val="20"/>
      </w:rPr>
      <w:t>1</w:t>
    </w:r>
    <w:r w:rsidR="00A47219">
      <w:rPr>
        <w:rFonts w:ascii="Arial" w:hAnsi="Arial" w:cs="Arial"/>
        <w:sz w:val="20"/>
        <w:szCs w:val="20"/>
      </w:rPr>
      <w:tab/>
    </w:r>
    <w:r w:rsidR="008903A4">
      <w:rPr>
        <w:rFonts w:ascii="Arial" w:hAnsi="Arial" w:cs="Arial"/>
        <w:sz w:val="20"/>
        <w:szCs w:val="20"/>
      </w:rPr>
      <w:t xml:space="preserve">Final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715D" w14:textId="77777777" w:rsidR="009A6EB8" w:rsidRDefault="009A6EB8">
      <w:r>
        <w:separator/>
      </w:r>
    </w:p>
    <w:p w14:paraId="1894E084" w14:textId="77777777" w:rsidR="009A6EB8" w:rsidRDefault="009A6EB8"/>
    <w:p w14:paraId="2275F8BA" w14:textId="77777777" w:rsidR="009A6EB8" w:rsidRDefault="009A6EB8" w:rsidP="000A78C3"/>
  </w:footnote>
  <w:footnote w:type="continuationSeparator" w:id="0">
    <w:p w14:paraId="31FBC77E" w14:textId="77777777" w:rsidR="009A6EB8" w:rsidRDefault="009A6EB8">
      <w:r>
        <w:continuationSeparator/>
      </w:r>
    </w:p>
    <w:p w14:paraId="2320F408" w14:textId="77777777" w:rsidR="009A6EB8" w:rsidRDefault="009A6EB8"/>
    <w:p w14:paraId="423EA6C8" w14:textId="77777777" w:rsidR="009A6EB8" w:rsidRDefault="009A6EB8" w:rsidP="000A7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2603" w14:textId="77777777" w:rsidR="00565975" w:rsidRDefault="00565975">
    <w:pPr>
      <w:pStyle w:val="Header"/>
    </w:pPr>
  </w:p>
  <w:p w14:paraId="65D4F517" w14:textId="77777777" w:rsidR="006903F2" w:rsidRDefault="006903F2"/>
  <w:p w14:paraId="35CB4F71" w14:textId="77777777" w:rsidR="006903F2" w:rsidRDefault="006903F2" w:rsidP="000A7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FB7D" w14:textId="77777777" w:rsidR="00A47219" w:rsidRDefault="00A47219" w:rsidP="0002111C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BF93" w14:textId="77777777" w:rsidR="00A47219" w:rsidRDefault="003F5D9C">
    <w:pPr>
      <w:pStyle w:val="Header"/>
      <w:ind w:left="0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F7F5460" wp14:editId="578E8044">
          <wp:simplePos x="0" y="0"/>
          <wp:positionH relativeFrom="column">
            <wp:posOffset>3968526</wp:posOffset>
          </wp:positionH>
          <wp:positionV relativeFrom="paragraph">
            <wp:posOffset>159385</wp:posOffset>
          </wp:positionV>
          <wp:extent cx="2258060" cy="662940"/>
          <wp:effectExtent l="0" t="0" r="8890" b="3810"/>
          <wp:wrapNone/>
          <wp:docPr id="8" name="Picture 8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FFB">
      <w:rPr>
        <w:noProof/>
        <w:lang w:eastAsia="en-GB"/>
      </w:rPr>
      <w:drawing>
        <wp:inline distT="0" distB="0" distL="0" distR="0" wp14:anchorId="2A9B13FE" wp14:editId="10DB9B08">
          <wp:extent cx="3590925" cy="1000125"/>
          <wp:effectExtent l="0" t="0" r="9525" b="9525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028B">
      <w:rPr>
        <w:noProof/>
        <w:lang w:eastAsia="en-GB"/>
      </w:rPr>
      <w:t xml:space="preserve">           </w:t>
    </w:r>
  </w:p>
  <w:p w14:paraId="1C175C72" w14:textId="77777777" w:rsidR="00A47219" w:rsidRDefault="00A47219" w:rsidP="000A78C3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wMAUQA5" int2:invalidationBookmarkName="" int2:hashCode="IrMQMzFViXv0Kk" int2:id="HGYAonK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0DD"/>
    <w:multiLevelType w:val="hybridMultilevel"/>
    <w:tmpl w:val="D542E7F0"/>
    <w:lvl w:ilvl="0" w:tplc="0809000F">
      <w:start w:val="1"/>
      <w:numFmt w:val="decimal"/>
      <w:lvlText w:val="%1."/>
      <w:lvlJc w:val="left"/>
      <w:pPr>
        <w:ind w:left="490" w:hanging="360"/>
      </w:pPr>
    </w:lvl>
    <w:lvl w:ilvl="1" w:tplc="08090019" w:tentative="1">
      <w:start w:val="1"/>
      <w:numFmt w:val="lowerLetter"/>
      <w:lvlText w:val="%2."/>
      <w:lvlJc w:val="left"/>
      <w:pPr>
        <w:ind w:left="1210" w:hanging="360"/>
      </w:pPr>
    </w:lvl>
    <w:lvl w:ilvl="2" w:tplc="0809001B" w:tentative="1">
      <w:start w:val="1"/>
      <w:numFmt w:val="lowerRoman"/>
      <w:lvlText w:val="%3."/>
      <w:lvlJc w:val="right"/>
      <w:pPr>
        <w:ind w:left="1930" w:hanging="180"/>
      </w:pPr>
    </w:lvl>
    <w:lvl w:ilvl="3" w:tplc="0809000F" w:tentative="1">
      <w:start w:val="1"/>
      <w:numFmt w:val="decimal"/>
      <w:lvlText w:val="%4."/>
      <w:lvlJc w:val="left"/>
      <w:pPr>
        <w:ind w:left="2650" w:hanging="360"/>
      </w:pPr>
    </w:lvl>
    <w:lvl w:ilvl="4" w:tplc="08090019" w:tentative="1">
      <w:start w:val="1"/>
      <w:numFmt w:val="lowerLetter"/>
      <w:lvlText w:val="%5."/>
      <w:lvlJc w:val="left"/>
      <w:pPr>
        <w:ind w:left="3370" w:hanging="360"/>
      </w:pPr>
    </w:lvl>
    <w:lvl w:ilvl="5" w:tplc="0809001B" w:tentative="1">
      <w:start w:val="1"/>
      <w:numFmt w:val="lowerRoman"/>
      <w:lvlText w:val="%6."/>
      <w:lvlJc w:val="right"/>
      <w:pPr>
        <w:ind w:left="4090" w:hanging="180"/>
      </w:pPr>
    </w:lvl>
    <w:lvl w:ilvl="6" w:tplc="0809000F" w:tentative="1">
      <w:start w:val="1"/>
      <w:numFmt w:val="decimal"/>
      <w:lvlText w:val="%7."/>
      <w:lvlJc w:val="left"/>
      <w:pPr>
        <w:ind w:left="4810" w:hanging="360"/>
      </w:pPr>
    </w:lvl>
    <w:lvl w:ilvl="7" w:tplc="08090019" w:tentative="1">
      <w:start w:val="1"/>
      <w:numFmt w:val="lowerLetter"/>
      <w:lvlText w:val="%8."/>
      <w:lvlJc w:val="left"/>
      <w:pPr>
        <w:ind w:left="5530" w:hanging="360"/>
      </w:pPr>
    </w:lvl>
    <w:lvl w:ilvl="8" w:tplc="08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 w15:restartNumberingAfterBreak="0">
    <w:nsid w:val="101A7790"/>
    <w:multiLevelType w:val="hybridMultilevel"/>
    <w:tmpl w:val="2D98A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01D6D"/>
    <w:multiLevelType w:val="hybridMultilevel"/>
    <w:tmpl w:val="0B088B2A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A77435"/>
    <w:multiLevelType w:val="hybridMultilevel"/>
    <w:tmpl w:val="C34CD4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5BF8"/>
    <w:multiLevelType w:val="hybridMultilevel"/>
    <w:tmpl w:val="1AF46D1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8082972"/>
    <w:multiLevelType w:val="hybridMultilevel"/>
    <w:tmpl w:val="8A32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E3D38"/>
    <w:multiLevelType w:val="hybridMultilevel"/>
    <w:tmpl w:val="9E28CF28"/>
    <w:lvl w:ilvl="0" w:tplc="03B48E8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5594"/>
    <w:multiLevelType w:val="hybridMultilevel"/>
    <w:tmpl w:val="8EC24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A202F"/>
    <w:multiLevelType w:val="hybridMultilevel"/>
    <w:tmpl w:val="A79CA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2C2B0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A3FD2"/>
    <w:multiLevelType w:val="hybridMultilevel"/>
    <w:tmpl w:val="36CEE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1A7CBD"/>
    <w:multiLevelType w:val="hybridMultilevel"/>
    <w:tmpl w:val="45BE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3D0AB1"/>
    <w:multiLevelType w:val="hybridMultilevel"/>
    <w:tmpl w:val="8D2C6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BC057C"/>
    <w:multiLevelType w:val="hybridMultilevel"/>
    <w:tmpl w:val="46884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5173"/>
    <w:multiLevelType w:val="hybridMultilevel"/>
    <w:tmpl w:val="B73A9A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A94802"/>
    <w:multiLevelType w:val="hybridMultilevel"/>
    <w:tmpl w:val="7CBEE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A7615"/>
    <w:multiLevelType w:val="hybridMultilevel"/>
    <w:tmpl w:val="0D34C3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0E66F2"/>
    <w:multiLevelType w:val="hybridMultilevel"/>
    <w:tmpl w:val="50F09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3B58"/>
    <w:multiLevelType w:val="hybridMultilevel"/>
    <w:tmpl w:val="C4B4E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9B6C4E"/>
    <w:multiLevelType w:val="hybridMultilevel"/>
    <w:tmpl w:val="9C4A5278"/>
    <w:lvl w:ilvl="0" w:tplc="38BCE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380F7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01229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2C899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F5AAA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D36DD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F6C41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6C2EB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90061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8274BD"/>
    <w:multiLevelType w:val="hybridMultilevel"/>
    <w:tmpl w:val="9224E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0567F"/>
    <w:multiLevelType w:val="hybridMultilevel"/>
    <w:tmpl w:val="CE3ECD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14294"/>
    <w:multiLevelType w:val="hybridMultilevel"/>
    <w:tmpl w:val="E4E6D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87A2E"/>
    <w:multiLevelType w:val="hybridMultilevel"/>
    <w:tmpl w:val="A39E8A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EE7DF4"/>
    <w:multiLevelType w:val="hybridMultilevel"/>
    <w:tmpl w:val="A7BC8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CA7479"/>
    <w:multiLevelType w:val="hybridMultilevel"/>
    <w:tmpl w:val="15FEE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468B0"/>
    <w:multiLevelType w:val="hybridMultilevel"/>
    <w:tmpl w:val="EF1E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9306D"/>
    <w:multiLevelType w:val="hybridMultilevel"/>
    <w:tmpl w:val="E578E8D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57AEF"/>
    <w:multiLevelType w:val="hybridMultilevel"/>
    <w:tmpl w:val="A5FAE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E0E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F203F0"/>
    <w:multiLevelType w:val="hybridMultilevel"/>
    <w:tmpl w:val="6DDC2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E019D"/>
    <w:multiLevelType w:val="hybridMultilevel"/>
    <w:tmpl w:val="2B6E61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55E63"/>
    <w:multiLevelType w:val="hybridMultilevel"/>
    <w:tmpl w:val="7FE6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C6B78"/>
    <w:multiLevelType w:val="hybridMultilevel"/>
    <w:tmpl w:val="7054D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E30F4"/>
    <w:multiLevelType w:val="hybridMultilevel"/>
    <w:tmpl w:val="56EE4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B23D2"/>
    <w:multiLevelType w:val="hybridMultilevel"/>
    <w:tmpl w:val="DEA4C60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80167"/>
    <w:multiLevelType w:val="hybridMultilevel"/>
    <w:tmpl w:val="E902B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E1B8D"/>
    <w:multiLevelType w:val="hybridMultilevel"/>
    <w:tmpl w:val="F992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14466"/>
    <w:multiLevelType w:val="hybridMultilevel"/>
    <w:tmpl w:val="64DCC4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581F8D"/>
    <w:multiLevelType w:val="hybridMultilevel"/>
    <w:tmpl w:val="8D1041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D1505"/>
    <w:multiLevelType w:val="hybridMultilevel"/>
    <w:tmpl w:val="3DE837F8"/>
    <w:lvl w:ilvl="0" w:tplc="E2348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403C59"/>
    <w:multiLevelType w:val="hybridMultilevel"/>
    <w:tmpl w:val="37144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9F0E74"/>
    <w:multiLevelType w:val="hybridMultilevel"/>
    <w:tmpl w:val="53AA21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EB771E"/>
    <w:multiLevelType w:val="hybridMultilevel"/>
    <w:tmpl w:val="FA54EB30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4E125D7"/>
    <w:multiLevelType w:val="hybridMultilevel"/>
    <w:tmpl w:val="D552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7758">
    <w:abstractNumId w:val="31"/>
  </w:num>
  <w:num w:numId="2" w16cid:durableId="1693336150">
    <w:abstractNumId w:val="1"/>
  </w:num>
  <w:num w:numId="3" w16cid:durableId="1534728298">
    <w:abstractNumId w:val="10"/>
  </w:num>
  <w:num w:numId="4" w16cid:durableId="15663164">
    <w:abstractNumId w:val="14"/>
  </w:num>
  <w:num w:numId="5" w16cid:durableId="1808090578">
    <w:abstractNumId w:val="44"/>
  </w:num>
  <w:num w:numId="6" w16cid:durableId="286207915">
    <w:abstractNumId w:val="4"/>
  </w:num>
  <w:num w:numId="7" w16cid:durableId="526522269">
    <w:abstractNumId w:val="16"/>
  </w:num>
  <w:num w:numId="8" w16cid:durableId="2001300932">
    <w:abstractNumId w:val="33"/>
  </w:num>
  <w:num w:numId="9" w16cid:durableId="779371546">
    <w:abstractNumId w:val="27"/>
  </w:num>
  <w:num w:numId="10" w16cid:durableId="42796229">
    <w:abstractNumId w:val="34"/>
  </w:num>
  <w:num w:numId="11" w16cid:durableId="951598229">
    <w:abstractNumId w:val="11"/>
  </w:num>
  <w:num w:numId="12" w16cid:durableId="1679576631">
    <w:abstractNumId w:val="20"/>
  </w:num>
  <w:num w:numId="13" w16cid:durableId="2031446850">
    <w:abstractNumId w:val="25"/>
  </w:num>
  <w:num w:numId="14" w16cid:durableId="440103481">
    <w:abstractNumId w:val="28"/>
  </w:num>
  <w:num w:numId="15" w16cid:durableId="1182278383">
    <w:abstractNumId w:val="15"/>
  </w:num>
  <w:num w:numId="16" w16cid:durableId="1696154750">
    <w:abstractNumId w:val="30"/>
  </w:num>
  <w:num w:numId="17" w16cid:durableId="532423894">
    <w:abstractNumId w:val="19"/>
  </w:num>
  <w:num w:numId="18" w16cid:durableId="1961765487">
    <w:abstractNumId w:val="39"/>
  </w:num>
  <w:num w:numId="19" w16cid:durableId="400833925">
    <w:abstractNumId w:val="5"/>
  </w:num>
  <w:num w:numId="20" w16cid:durableId="627013043">
    <w:abstractNumId w:val="3"/>
  </w:num>
  <w:num w:numId="21" w16cid:durableId="973682344">
    <w:abstractNumId w:val="17"/>
  </w:num>
  <w:num w:numId="22" w16cid:durableId="1289513007">
    <w:abstractNumId w:val="40"/>
  </w:num>
  <w:num w:numId="23" w16cid:durableId="1528517770">
    <w:abstractNumId w:val="42"/>
  </w:num>
  <w:num w:numId="24" w16cid:durableId="609816831">
    <w:abstractNumId w:val="36"/>
  </w:num>
  <w:num w:numId="25" w16cid:durableId="544567152">
    <w:abstractNumId w:val="6"/>
  </w:num>
  <w:num w:numId="26" w16cid:durableId="1981375376">
    <w:abstractNumId w:val="29"/>
  </w:num>
  <w:num w:numId="27" w16cid:durableId="73863669">
    <w:abstractNumId w:val="2"/>
  </w:num>
  <w:num w:numId="28" w16cid:durableId="1292908284">
    <w:abstractNumId w:val="23"/>
  </w:num>
  <w:num w:numId="29" w16cid:durableId="1501576886">
    <w:abstractNumId w:val="24"/>
  </w:num>
  <w:num w:numId="30" w16cid:durableId="829369320">
    <w:abstractNumId w:val="0"/>
  </w:num>
  <w:num w:numId="31" w16cid:durableId="39350677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4781328">
    <w:abstractNumId w:val="38"/>
  </w:num>
  <w:num w:numId="33" w16cid:durableId="604189420">
    <w:abstractNumId w:val="21"/>
  </w:num>
  <w:num w:numId="34" w16cid:durableId="1325015008">
    <w:abstractNumId w:val="43"/>
  </w:num>
  <w:num w:numId="35" w16cid:durableId="810902781">
    <w:abstractNumId w:val="41"/>
  </w:num>
  <w:num w:numId="36" w16cid:durableId="1369061370">
    <w:abstractNumId w:val="32"/>
  </w:num>
  <w:num w:numId="37" w16cid:durableId="477697732">
    <w:abstractNumId w:val="9"/>
  </w:num>
  <w:num w:numId="38" w16cid:durableId="1312255184">
    <w:abstractNumId w:val="13"/>
  </w:num>
  <w:num w:numId="39" w16cid:durableId="994381999">
    <w:abstractNumId w:val="26"/>
  </w:num>
  <w:num w:numId="40" w16cid:durableId="2045445511">
    <w:abstractNumId w:val="35"/>
  </w:num>
  <w:num w:numId="41" w16cid:durableId="170415552">
    <w:abstractNumId w:val="8"/>
  </w:num>
  <w:num w:numId="42" w16cid:durableId="254360848">
    <w:abstractNumId w:val="8"/>
    <w:lvlOverride w:ilvl="0">
      <w:startOverride w:val="1"/>
    </w:lvlOverride>
  </w:num>
  <w:num w:numId="43" w16cid:durableId="1797020943">
    <w:abstractNumId w:val="45"/>
  </w:num>
  <w:num w:numId="44" w16cid:durableId="1688479843">
    <w:abstractNumId w:val="7"/>
  </w:num>
  <w:num w:numId="45" w16cid:durableId="1188253147">
    <w:abstractNumId w:val="22"/>
  </w:num>
  <w:num w:numId="46" w16cid:durableId="1764497052">
    <w:abstractNumId w:val="37"/>
  </w:num>
  <w:num w:numId="47" w16cid:durableId="597979726">
    <w:abstractNumId w:val="8"/>
    <w:lvlOverride w:ilvl="0">
      <w:startOverride w:val="1"/>
    </w:lvlOverride>
  </w:num>
  <w:num w:numId="48" w16cid:durableId="6995469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E5"/>
    <w:rsid w:val="00001B41"/>
    <w:rsid w:val="00003FA0"/>
    <w:rsid w:val="0002111C"/>
    <w:rsid w:val="00042772"/>
    <w:rsid w:val="00042FFB"/>
    <w:rsid w:val="00047E23"/>
    <w:rsid w:val="000542A9"/>
    <w:rsid w:val="00055467"/>
    <w:rsid w:val="00090FD7"/>
    <w:rsid w:val="00091B1A"/>
    <w:rsid w:val="00095D3B"/>
    <w:rsid w:val="000A01CE"/>
    <w:rsid w:val="000A4364"/>
    <w:rsid w:val="000A48F5"/>
    <w:rsid w:val="000A711A"/>
    <w:rsid w:val="000A78C3"/>
    <w:rsid w:val="000C0A27"/>
    <w:rsid w:val="000C53AE"/>
    <w:rsid w:val="000D12C9"/>
    <w:rsid w:val="000D2F1E"/>
    <w:rsid w:val="000E3646"/>
    <w:rsid w:val="000F45C1"/>
    <w:rsid w:val="00101F48"/>
    <w:rsid w:val="00134BA9"/>
    <w:rsid w:val="0014313C"/>
    <w:rsid w:val="00143E00"/>
    <w:rsid w:val="001507DA"/>
    <w:rsid w:val="0016711D"/>
    <w:rsid w:val="00171358"/>
    <w:rsid w:val="00193037"/>
    <w:rsid w:val="00197770"/>
    <w:rsid w:val="001A5DC8"/>
    <w:rsid w:val="001B1C6C"/>
    <w:rsid w:val="001C583C"/>
    <w:rsid w:val="001C61A4"/>
    <w:rsid w:val="001D0896"/>
    <w:rsid w:val="001D1176"/>
    <w:rsid w:val="00211A8E"/>
    <w:rsid w:val="00223639"/>
    <w:rsid w:val="00223670"/>
    <w:rsid w:val="00223A12"/>
    <w:rsid w:val="00243E3C"/>
    <w:rsid w:val="00247478"/>
    <w:rsid w:val="0025133D"/>
    <w:rsid w:val="0025194D"/>
    <w:rsid w:val="00252E61"/>
    <w:rsid w:val="0025555E"/>
    <w:rsid w:val="00275295"/>
    <w:rsid w:val="0028675A"/>
    <w:rsid w:val="002A3D5D"/>
    <w:rsid w:val="002A401F"/>
    <w:rsid w:val="002B3D7B"/>
    <w:rsid w:val="002B4DCE"/>
    <w:rsid w:val="002C04FC"/>
    <w:rsid w:val="002C3B70"/>
    <w:rsid w:val="002C5D15"/>
    <w:rsid w:val="002D1F2A"/>
    <w:rsid w:val="002D207D"/>
    <w:rsid w:val="002D2F17"/>
    <w:rsid w:val="002D61C4"/>
    <w:rsid w:val="00301810"/>
    <w:rsid w:val="00302346"/>
    <w:rsid w:val="00304884"/>
    <w:rsid w:val="0032185D"/>
    <w:rsid w:val="00333536"/>
    <w:rsid w:val="0033393B"/>
    <w:rsid w:val="00334802"/>
    <w:rsid w:val="003379E2"/>
    <w:rsid w:val="00337C60"/>
    <w:rsid w:val="00341A39"/>
    <w:rsid w:val="003527E2"/>
    <w:rsid w:val="00354C64"/>
    <w:rsid w:val="00355195"/>
    <w:rsid w:val="00355A30"/>
    <w:rsid w:val="003579AD"/>
    <w:rsid w:val="00367624"/>
    <w:rsid w:val="00377480"/>
    <w:rsid w:val="00387A0B"/>
    <w:rsid w:val="0039738C"/>
    <w:rsid w:val="003A53DF"/>
    <w:rsid w:val="003B2596"/>
    <w:rsid w:val="003D6A42"/>
    <w:rsid w:val="003E0547"/>
    <w:rsid w:val="003F5D9C"/>
    <w:rsid w:val="0040662C"/>
    <w:rsid w:val="00411A00"/>
    <w:rsid w:val="00414FBF"/>
    <w:rsid w:val="00427BC4"/>
    <w:rsid w:val="00427E21"/>
    <w:rsid w:val="0043378D"/>
    <w:rsid w:val="00447559"/>
    <w:rsid w:val="0046028B"/>
    <w:rsid w:val="00462E4C"/>
    <w:rsid w:val="0047261C"/>
    <w:rsid w:val="00477BCF"/>
    <w:rsid w:val="0048762A"/>
    <w:rsid w:val="004B580C"/>
    <w:rsid w:val="004B7F5A"/>
    <w:rsid w:val="004C305B"/>
    <w:rsid w:val="004D16A5"/>
    <w:rsid w:val="004D2F69"/>
    <w:rsid w:val="004D7A7C"/>
    <w:rsid w:val="004E6CE8"/>
    <w:rsid w:val="004F17F7"/>
    <w:rsid w:val="004F30E8"/>
    <w:rsid w:val="005023FF"/>
    <w:rsid w:val="00507913"/>
    <w:rsid w:val="00512529"/>
    <w:rsid w:val="00516906"/>
    <w:rsid w:val="00527CB5"/>
    <w:rsid w:val="005454DB"/>
    <w:rsid w:val="00545CCC"/>
    <w:rsid w:val="00551C64"/>
    <w:rsid w:val="0055666E"/>
    <w:rsid w:val="00563A25"/>
    <w:rsid w:val="00565975"/>
    <w:rsid w:val="005665D0"/>
    <w:rsid w:val="005673B0"/>
    <w:rsid w:val="00570413"/>
    <w:rsid w:val="0057459D"/>
    <w:rsid w:val="00580779"/>
    <w:rsid w:val="00586B45"/>
    <w:rsid w:val="00587039"/>
    <w:rsid w:val="005976CA"/>
    <w:rsid w:val="005978F5"/>
    <w:rsid w:val="005A471D"/>
    <w:rsid w:val="005B73BA"/>
    <w:rsid w:val="005C10FA"/>
    <w:rsid w:val="005C238B"/>
    <w:rsid w:val="005C3F07"/>
    <w:rsid w:val="005C4B08"/>
    <w:rsid w:val="005D3034"/>
    <w:rsid w:val="005E2396"/>
    <w:rsid w:val="006014E6"/>
    <w:rsid w:val="006048F9"/>
    <w:rsid w:val="00607B58"/>
    <w:rsid w:val="00612289"/>
    <w:rsid w:val="006129B2"/>
    <w:rsid w:val="006148DA"/>
    <w:rsid w:val="0062148C"/>
    <w:rsid w:val="00632519"/>
    <w:rsid w:val="0063326F"/>
    <w:rsid w:val="00640609"/>
    <w:rsid w:val="00650DD6"/>
    <w:rsid w:val="006562ED"/>
    <w:rsid w:val="00656C3E"/>
    <w:rsid w:val="00661DCA"/>
    <w:rsid w:val="006621AD"/>
    <w:rsid w:val="006707C9"/>
    <w:rsid w:val="0067624E"/>
    <w:rsid w:val="00681647"/>
    <w:rsid w:val="006823FB"/>
    <w:rsid w:val="006828B6"/>
    <w:rsid w:val="00685242"/>
    <w:rsid w:val="0068556C"/>
    <w:rsid w:val="00685687"/>
    <w:rsid w:val="006903F2"/>
    <w:rsid w:val="00693CF9"/>
    <w:rsid w:val="006A4703"/>
    <w:rsid w:val="006A7237"/>
    <w:rsid w:val="006A7933"/>
    <w:rsid w:val="006B30CB"/>
    <w:rsid w:val="006C28A7"/>
    <w:rsid w:val="006D2E9F"/>
    <w:rsid w:val="006D4A2C"/>
    <w:rsid w:val="006D4DBB"/>
    <w:rsid w:val="006D6AED"/>
    <w:rsid w:val="006E1B09"/>
    <w:rsid w:val="006E6CD1"/>
    <w:rsid w:val="006F3D29"/>
    <w:rsid w:val="006F4C03"/>
    <w:rsid w:val="00711134"/>
    <w:rsid w:val="00716BA9"/>
    <w:rsid w:val="0071784F"/>
    <w:rsid w:val="00752883"/>
    <w:rsid w:val="00766543"/>
    <w:rsid w:val="00766841"/>
    <w:rsid w:val="00774E8A"/>
    <w:rsid w:val="00777475"/>
    <w:rsid w:val="0078536E"/>
    <w:rsid w:val="00787CFB"/>
    <w:rsid w:val="007A32DB"/>
    <w:rsid w:val="007A73B3"/>
    <w:rsid w:val="007B1577"/>
    <w:rsid w:val="007B6DDE"/>
    <w:rsid w:val="007C6581"/>
    <w:rsid w:val="007D0E86"/>
    <w:rsid w:val="007D225C"/>
    <w:rsid w:val="007E65AC"/>
    <w:rsid w:val="0080019C"/>
    <w:rsid w:val="0080576C"/>
    <w:rsid w:val="008152CE"/>
    <w:rsid w:val="00817DB1"/>
    <w:rsid w:val="008256F5"/>
    <w:rsid w:val="00831FC1"/>
    <w:rsid w:val="008547C8"/>
    <w:rsid w:val="00856E0C"/>
    <w:rsid w:val="0086266E"/>
    <w:rsid w:val="00881FCC"/>
    <w:rsid w:val="008903A4"/>
    <w:rsid w:val="00895BCC"/>
    <w:rsid w:val="008E1A4B"/>
    <w:rsid w:val="008F2B83"/>
    <w:rsid w:val="00903C95"/>
    <w:rsid w:val="0090767B"/>
    <w:rsid w:val="00907A20"/>
    <w:rsid w:val="009103A3"/>
    <w:rsid w:val="00911948"/>
    <w:rsid w:val="00923E62"/>
    <w:rsid w:val="00930E7F"/>
    <w:rsid w:val="009336DF"/>
    <w:rsid w:val="00934003"/>
    <w:rsid w:val="00956CF8"/>
    <w:rsid w:val="009622E5"/>
    <w:rsid w:val="0097300E"/>
    <w:rsid w:val="00974E43"/>
    <w:rsid w:val="00985C45"/>
    <w:rsid w:val="00991717"/>
    <w:rsid w:val="00997E84"/>
    <w:rsid w:val="009A0AD1"/>
    <w:rsid w:val="009A5D4D"/>
    <w:rsid w:val="009A6EB8"/>
    <w:rsid w:val="009C04CC"/>
    <w:rsid w:val="009D3909"/>
    <w:rsid w:val="009E06ED"/>
    <w:rsid w:val="009E2524"/>
    <w:rsid w:val="00A2091E"/>
    <w:rsid w:val="00A33EFD"/>
    <w:rsid w:val="00A45B37"/>
    <w:rsid w:val="00A47219"/>
    <w:rsid w:val="00A53219"/>
    <w:rsid w:val="00A538E5"/>
    <w:rsid w:val="00A56611"/>
    <w:rsid w:val="00A7466B"/>
    <w:rsid w:val="00A75121"/>
    <w:rsid w:val="00A96A3C"/>
    <w:rsid w:val="00AA7C8C"/>
    <w:rsid w:val="00AB0FB6"/>
    <w:rsid w:val="00AB603F"/>
    <w:rsid w:val="00AC3842"/>
    <w:rsid w:val="00AC4D45"/>
    <w:rsid w:val="00AE0DA9"/>
    <w:rsid w:val="00AF0D81"/>
    <w:rsid w:val="00B14BB7"/>
    <w:rsid w:val="00B3750D"/>
    <w:rsid w:val="00B37E07"/>
    <w:rsid w:val="00B47548"/>
    <w:rsid w:val="00B54A52"/>
    <w:rsid w:val="00B57B32"/>
    <w:rsid w:val="00B7409D"/>
    <w:rsid w:val="00B7666A"/>
    <w:rsid w:val="00BA1A75"/>
    <w:rsid w:val="00BA291E"/>
    <w:rsid w:val="00BA63E5"/>
    <w:rsid w:val="00BA6C0B"/>
    <w:rsid w:val="00BA7EE8"/>
    <w:rsid w:val="00BB1133"/>
    <w:rsid w:val="00BB538F"/>
    <w:rsid w:val="00BC0613"/>
    <w:rsid w:val="00BC1A19"/>
    <w:rsid w:val="00BC1A50"/>
    <w:rsid w:val="00BC4AA4"/>
    <w:rsid w:val="00BC5862"/>
    <w:rsid w:val="00BD3F4B"/>
    <w:rsid w:val="00BE7B59"/>
    <w:rsid w:val="00BF1DCB"/>
    <w:rsid w:val="00BF5DE8"/>
    <w:rsid w:val="00C001C6"/>
    <w:rsid w:val="00C22900"/>
    <w:rsid w:val="00C43570"/>
    <w:rsid w:val="00C44ECC"/>
    <w:rsid w:val="00C45592"/>
    <w:rsid w:val="00C456CC"/>
    <w:rsid w:val="00C54F10"/>
    <w:rsid w:val="00C64B60"/>
    <w:rsid w:val="00C76889"/>
    <w:rsid w:val="00C818F7"/>
    <w:rsid w:val="00C8220C"/>
    <w:rsid w:val="00C82AEE"/>
    <w:rsid w:val="00C84C2F"/>
    <w:rsid w:val="00C91021"/>
    <w:rsid w:val="00CB284A"/>
    <w:rsid w:val="00CB69D4"/>
    <w:rsid w:val="00CB7CB3"/>
    <w:rsid w:val="00CC15A7"/>
    <w:rsid w:val="00CD7FF9"/>
    <w:rsid w:val="00CE26C9"/>
    <w:rsid w:val="00CE46C1"/>
    <w:rsid w:val="00CE7C1D"/>
    <w:rsid w:val="00CF0956"/>
    <w:rsid w:val="00CF2A8E"/>
    <w:rsid w:val="00CF3D62"/>
    <w:rsid w:val="00D02F5C"/>
    <w:rsid w:val="00D11A53"/>
    <w:rsid w:val="00D34B46"/>
    <w:rsid w:val="00D36FD8"/>
    <w:rsid w:val="00D5352D"/>
    <w:rsid w:val="00D54ED1"/>
    <w:rsid w:val="00D62DB2"/>
    <w:rsid w:val="00D7586D"/>
    <w:rsid w:val="00D818F1"/>
    <w:rsid w:val="00D90E6D"/>
    <w:rsid w:val="00DB3A58"/>
    <w:rsid w:val="00DB65B8"/>
    <w:rsid w:val="00DC17E6"/>
    <w:rsid w:val="00DF50FD"/>
    <w:rsid w:val="00E14BE7"/>
    <w:rsid w:val="00E154B0"/>
    <w:rsid w:val="00E21F5D"/>
    <w:rsid w:val="00E35E65"/>
    <w:rsid w:val="00E36762"/>
    <w:rsid w:val="00E36EA4"/>
    <w:rsid w:val="00E45CEE"/>
    <w:rsid w:val="00E87A70"/>
    <w:rsid w:val="00EA1BA3"/>
    <w:rsid w:val="00EB26C6"/>
    <w:rsid w:val="00EB6CC8"/>
    <w:rsid w:val="00EB774F"/>
    <w:rsid w:val="00ED08B2"/>
    <w:rsid w:val="00EE120F"/>
    <w:rsid w:val="00EE4213"/>
    <w:rsid w:val="00F041B1"/>
    <w:rsid w:val="00F05252"/>
    <w:rsid w:val="00F05EAB"/>
    <w:rsid w:val="00F261F1"/>
    <w:rsid w:val="00F35E23"/>
    <w:rsid w:val="00F427B8"/>
    <w:rsid w:val="00F44535"/>
    <w:rsid w:val="00F47B20"/>
    <w:rsid w:val="00F5225A"/>
    <w:rsid w:val="00F56A11"/>
    <w:rsid w:val="00F715D6"/>
    <w:rsid w:val="00F80F94"/>
    <w:rsid w:val="00F85C45"/>
    <w:rsid w:val="00F93D65"/>
    <w:rsid w:val="00FA0089"/>
    <w:rsid w:val="00FA2E23"/>
    <w:rsid w:val="00FB6CD8"/>
    <w:rsid w:val="00FC15D8"/>
    <w:rsid w:val="00FC189B"/>
    <w:rsid w:val="00FD02AA"/>
    <w:rsid w:val="00FD03A0"/>
    <w:rsid w:val="00FD49A5"/>
    <w:rsid w:val="00FD78AE"/>
    <w:rsid w:val="00FE4DAC"/>
    <w:rsid w:val="00FE505C"/>
    <w:rsid w:val="00FF7FAD"/>
    <w:rsid w:val="1E328005"/>
    <w:rsid w:val="27C039EE"/>
    <w:rsid w:val="32C7121C"/>
    <w:rsid w:val="3B15EC00"/>
    <w:rsid w:val="6B99A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51E242C4"/>
  <w15:docId w15:val="{1FE0001E-56DD-443A-ABF7-F53354F1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46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qFormat/>
    <w:rsid w:val="00656C3E"/>
    <w:pPr>
      <w:numPr>
        <w:numId w:val="41"/>
      </w:numPr>
      <w:spacing w:after="0"/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basedOn w:val="Normal"/>
    <w:link w:val="StandardChar"/>
    <w:qFormat/>
    <w:rsid w:val="000A78C3"/>
    <w:pPr>
      <w:autoSpaceDE w:val="0"/>
      <w:autoSpaceDN w:val="0"/>
      <w:adjustRightInd w:val="0"/>
      <w:spacing w:after="120" w:line="276" w:lineRule="auto"/>
      <w:ind w:left="0"/>
      <w:jc w:val="left"/>
    </w:pPr>
    <w:rPr>
      <w:rFonts w:ascii="Arial" w:eastAsia="Times New Roman" w:hAnsi="Arial" w:cs="Arial"/>
      <w:lang w:eastAsia="en-GB"/>
    </w:rPr>
  </w:style>
  <w:style w:type="character" w:customStyle="1" w:styleId="Heading3Char">
    <w:name w:val="Heading 3 Char"/>
    <w:link w:val="Heading3"/>
    <w:semiHidden/>
    <w:rsid w:val="00A7466B"/>
    <w:rPr>
      <w:rFonts w:ascii="Cambria" w:hAnsi="Cambria"/>
      <w:b/>
      <w:bCs/>
      <w:sz w:val="26"/>
      <w:szCs w:val="26"/>
      <w:lang w:eastAsia="en-US"/>
    </w:rPr>
  </w:style>
  <w:style w:type="character" w:customStyle="1" w:styleId="StandardChar">
    <w:name w:val="Standard Char"/>
    <w:link w:val="Standard"/>
    <w:rsid w:val="000A78C3"/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A7466B"/>
    <w:pPr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D303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0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00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34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85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4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doi/10.1111/bjh.1622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ustom%20Office%20Templates\Audit%20template%20B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Audit template BSH</Template>
  <TotalTime>0</TotalTime>
  <Pages>4</Pages>
  <Words>744</Words>
  <Characters>4247</Characters>
  <Application>Microsoft Office Word</Application>
  <DocSecurity>0</DocSecurity>
  <Lines>35</Lines>
  <Paragraphs>9</Paragraphs>
  <ScaleCrop>false</ScaleCrop>
  <Company>Royal College of Pathologists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creator>Owner</dc:creator>
  <cp:lastModifiedBy>Gamze Sen</cp:lastModifiedBy>
  <cp:revision>2</cp:revision>
  <cp:lastPrinted>2015-08-25T10:29:00Z</cp:lastPrinted>
  <dcterms:created xsi:type="dcterms:W3CDTF">2022-06-06T08:22:00Z</dcterms:created>
  <dcterms:modified xsi:type="dcterms:W3CDTF">2022-06-06T08:22:00Z</dcterms:modified>
</cp:coreProperties>
</file>