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C11A" w14:textId="77777777" w:rsidR="003A69C2" w:rsidRPr="003A69C2" w:rsidRDefault="003A69C2">
      <w:pPr>
        <w:pStyle w:val="Body"/>
        <w:ind w:left="0"/>
        <w:jc w:val="center"/>
        <w:rPr>
          <w:rFonts w:ascii="Arial" w:hAnsi="Arial" w:cs="Arial"/>
          <w:b/>
          <w:bCs/>
          <w:sz w:val="28"/>
          <w:szCs w:val="28"/>
        </w:rPr>
      </w:pPr>
    </w:p>
    <w:p w14:paraId="6C30711B" w14:textId="530A195C" w:rsidR="000E3517" w:rsidRPr="003A69C2" w:rsidRDefault="008C4C90">
      <w:pPr>
        <w:pStyle w:val="Body"/>
        <w:ind w:left="0"/>
        <w:jc w:val="center"/>
        <w:rPr>
          <w:rFonts w:ascii="Arial" w:eastAsia="Arial" w:hAnsi="Arial" w:cs="Arial"/>
          <w:b/>
          <w:bCs/>
          <w:color w:val="FF0000"/>
          <w:sz w:val="28"/>
          <w:szCs w:val="28"/>
          <w:u w:color="FF0000"/>
        </w:rPr>
      </w:pPr>
      <w:r w:rsidRPr="003A69C2">
        <w:rPr>
          <w:rFonts w:ascii="Arial" w:hAnsi="Arial" w:cs="Arial"/>
          <w:b/>
          <w:bCs/>
          <w:sz w:val="28"/>
          <w:szCs w:val="28"/>
        </w:rPr>
        <w:t>Cellular pathology audit template</w:t>
      </w:r>
    </w:p>
    <w:p w14:paraId="6C30711C" w14:textId="77777777" w:rsidR="000E3517" w:rsidRPr="003A69C2" w:rsidRDefault="000E3517">
      <w:pPr>
        <w:pStyle w:val="Body"/>
        <w:ind w:left="0"/>
        <w:rPr>
          <w:rFonts w:ascii="Arial" w:eastAsia="Arial" w:hAnsi="Arial" w:cs="Arial"/>
          <w:i/>
          <w:iCs/>
          <w:color w:val="FF00FF"/>
          <w:u w:color="FF00FF"/>
        </w:rPr>
      </w:pPr>
    </w:p>
    <w:tbl>
      <w:tblPr>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0"/>
        <w:gridCol w:w="8009"/>
      </w:tblGrid>
      <w:tr w:rsidR="000E3517" w:rsidRPr="003A69C2" w14:paraId="6C30711F"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1D"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 xml:space="preserve">Date of completion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1E"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color w:val="FF0000"/>
                <w:u w:color="FF0000"/>
              </w:rPr>
              <w:t>(To be inserted when completed)</w:t>
            </w:r>
          </w:p>
        </w:tc>
      </w:tr>
      <w:tr w:rsidR="000E3517" w:rsidRPr="003A69C2" w14:paraId="6C307122"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0"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Name of lead author/ participants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1"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color w:val="FF0000"/>
                <w:u w:color="FF0000"/>
              </w:rPr>
              <w:t>(To be inserted)</w:t>
            </w:r>
          </w:p>
        </w:tc>
      </w:tr>
      <w:tr w:rsidR="000E3517" w:rsidRPr="003A69C2" w14:paraId="6C307125"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3"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Specialty</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4"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rPr>
              <w:t xml:space="preserve">Cellular pathology/cytopathology </w:t>
            </w:r>
          </w:p>
        </w:tc>
      </w:tr>
      <w:tr w:rsidR="000E3517" w:rsidRPr="003A69C2" w14:paraId="6C307128"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6"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Title</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7" w14:textId="77777777" w:rsidR="000E3517" w:rsidRPr="003A69C2" w:rsidRDefault="008C4C90" w:rsidP="003A69C2">
            <w:pPr>
              <w:pStyle w:val="Default"/>
              <w:spacing w:before="60" w:after="60"/>
              <w:ind w:left="0"/>
              <w:jc w:val="left"/>
              <w:rPr>
                <w:rFonts w:cs="Arial"/>
                <w:sz w:val="22"/>
                <w:szCs w:val="22"/>
                <w:lang w:val="en-GB"/>
              </w:rPr>
            </w:pPr>
            <w:r w:rsidRPr="003A69C2">
              <w:rPr>
                <w:rFonts w:cs="Arial"/>
                <w:b/>
                <w:bCs/>
                <w:sz w:val="22"/>
                <w:szCs w:val="22"/>
                <w:lang w:val="en-GB"/>
              </w:rPr>
              <w:t>An audit of reporting of thyroid cytology specimens and their</w:t>
            </w:r>
            <w:r w:rsidRPr="003A69C2">
              <w:rPr>
                <w:rFonts w:cs="Arial"/>
                <w:b/>
                <w:bCs/>
                <w:color w:val="FF0000"/>
                <w:sz w:val="22"/>
                <w:szCs w:val="22"/>
                <w:u w:color="FF0000"/>
                <w:lang w:val="en-GB"/>
              </w:rPr>
              <w:t xml:space="preserve"> </w:t>
            </w:r>
            <w:r w:rsidRPr="003A69C2">
              <w:rPr>
                <w:rFonts w:cs="Arial"/>
                <w:b/>
                <w:bCs/>
                <w:sz w:val="22"/>
                <w:szCs w:val="22"/>
                <w:lang w:val="en-GB"/>
              </w:rPr>
              <w:t xml:space="preserve">correlation with thyroid histology </w:t>
            </w:r>
          </w:p>
        </w:tc>
      </w:tr>
      <w:tr w:rsidR="000E3517" w:rsidRPr="003A69C2" w14:paraId="6C307130"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9"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Background</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2A" w14:textId="707F77E7" w:rsidR="000E3517" w:rsidRPr="003A69C2" w:rsidRDefault="00EE4651" w:rsidP="003A69C2">
            <w:pPr>
              <w:pStyle w:val="Body"/>
              <w:spacing w:before="60" w:after="60"/>
              <w:ind w:left="0"/>
              <w:jc w:val="left"/>
              <w:rPr>
                <w:rFonts w:ascii="Arial" w:hAnsi="Arial" w:cs="Arial"/>
              </w:rPr>
            </w:pPr>
            <w:r w:rsidRPr="003A69C2">
              <w:rPr>
                <w:rFonts w:ascii="Arial" w:hAnsi="Arial" w:cs="Arial"/>
              </w:rPr>
              <w:t xml:space="preserve">The Royal College of </w:t>
            </w:r>
            <w:r w:rsidR="00054305" w:rsidRPr="003A69C2">
              <w:rPr>
                <w:rFonts w:ascii="Arial" w:hAnsi="Arial" w:cs="Arial"/>
              </w:rPr>
              <w:t>Pathologists</w:t>
            </w:r>
            <w:r w:rsidR="003A69C2">
              <w:rPr>
                <w:rFonts w:ascii="Arial" w:hAnsi="Arial" w:cs="Arial"/>
              </w:rPr>
              <w:t>’ (</w:t>
            </w:r>
            <w:proofErr w:type="spellStart"/>
            <w:r w:rsidR="003A69C2">
              <w:rPr>
                <w:rFonts w:ascii="Arial" w:hAnsi="Arial" w:cs="Arial"/>
              </w:rPr>
              <w:t>RCPath</w:t>
            </w:r>
            <w:proofErr w:type="spellEnd"/>
            <w:r w:rsidR="003A69C2">
              <w:rPr>
                <w:rFonts w:ascii="Arial" w:hAnsi="Arial" w:cs="Arial"/>
              </w:rPr>
              <w:t xml:space="preserve">) </w:t>
            </w:r>
            <w:r w:rsidRPr="003A69C2">
              <w:rPr>
                <w:rFonts w:ascii="Arial" w:hAnsi="Arial" w:cs="Arial"/>
                <w:i/>
                <w:iCs/>
              </w:rPr>
              <w:t>Guidance on Reporting of Thyroid Cytology Specimens (3rd edition)</w:t>
            </w:r>
            <w:r w:rsidR="008C4C90" w:rsidRPr="003A69C2">
              <w:rPr>
                <w:rFonts w:ascii="Arial" w:hAnsi="Arial" w:cs="Arial"/>
              </w:rPr>
              <w:t xml:space="preserve"> advises the use of numerical Thy</w:t>
            </w:r>
            <w:r w:rsidR="003A69C2" w:rsidRPr="003A69C2">
              <w:rPr>
                <w:rFonts w:ascii="Arial" w:hAnsi="Arial" w:cs="Arial"/>
              </w:rPr>
              <w:t xml:space="preserve"> </w:t>
            </w:r>
            <w:r w:rsidR="008C4C90" w:rsidRPr="003A69C2">
              <w:rPr>
                <w:rFonts w:ascii="Arial" w:hAnsi="Arial" w:cs="Arial"/>
              </w:rPr>
              <w:t>categories for the summary and audit of thyroid cytology cases.</w:t>
            </w:r>
            <w:r w:rsidR="008C4C90" w:rsidRPr="003A69C2">
              <w:rPr>
                <w:rFonts w:ascii="Arial" w:hAnsi="Arial" w:cs="Arial"/>
                <w:vertAlign w:val="superscript"/>
              </w:rPr>
              <w:t>1</w:t>
            </w:r>
            <w:r w:rsidR="008C4C90" w:rsidRPr="003A69C2">
              <w:rPr>
                <w:rFonts w:ascii="Arial" w:hAnsi="Arial" w:cs="Arial"/>
              </w:rPr>
              <w:t xml:space="preserve"> The guidance includes some indicative data for the percentage of reports that may fall into each category and the prediction rate of malignancy for each category, based on available UK data. The UK Thy</w:t>
            </w:r>
            <w:r w:rsidR="003A69C2">
              <w:rPr>
                <w:rFonts w:ascii="Arial" w:hAnsi="Arial" w:cs="Arial"/>
              </w:rPr>
              <w:t xml:space="preserve"> </w:t>
            </w:r>
            <w:r w:rsidR="008C4C90" w:rsidRPr="003A69C2">
              <w:rPr>
                <w:rFonts w:ascii="Arial" w:hAnsi="Arial" w:cs="Arial"/>
              </w:rPr>
              <w:t>categories map over to The Bethesda System (TBS), which is used in the USA and many other countries for thyroid cytology reporting.</w:t>
            </w:r>
            <w:r w:rsidR="008C4C90" w:rsidRPr="003A69C2">
              <w:rPr>
                <w:rFonts w:ascii="Arial" w:hAnsi="Arial" w:cs="Arial"/>
                <w:vertAlign w:val="superscript"/>
              </w:rPr>
              <w:t>2</w:t>
            </w:r>
            <w:r w:rsidR="008C4C90" w:rsidRPr="003A69C2">
              <w:rPr>
                <w:rFonts w:ascii="Arial" w:hAnsi="Arial" w:cs="Arial"/>
              </w:rPr>
              <w:t xml:space="preserve"> </w:t>
            </w:r>
          </w:p>
          <w:p w14:paraId="6C30712B" w14:textId="60BC722E" w:rsidR="000E3517" w:rsidRPr="003A69C2" w:rsidRDefault="008C4C90" w:rsidP="003A69C2">
            <w:pPr>
              <w:pStyle w:val="Body"/>
              <w:spacing w:before="60" w:after="60"/>
              <w:ind w:left="0"/>
              <w:jc w:val="left"/>
              <w:rPr>
                <w:rFonts w:ascii="Arial" w:eastAsia="Arial" w:hAnsi="Arial" w:cs="Arial"/>
              </w:rPr>
            </w:pPr>
            <w:r w:rsidRPr="003A69C2">
              <w:rPr>
                <w:rFonts w:ascii="Arial" w:hAnsi="Arial" w:cs="Arial"/>
              </w:rPr>
              <w:t>Comparison of cytohistological correlation data from the published literature is difficult since there are so many variables. However, each individual cytology service should establish from local audit of cytology and histology their own respective local rate for prediction of malignancy and positive predictive value (PPV) for each of the Thy cytology categories for targeted lesions</w:t>
            </w:r>
            <w:r w:rsidR="003A69C2">
              <w:rPr>
                <w:rFonts w:ascii="Arial" w:hAnsi="Arial" w:cs="Arial"/>
              </w:rPr>
              <w:t>,</w:t>
            </w:r>
            <w:r w:rsidRPr="003A69C2">
              <w:rPr>
                <w:rFonts w:ascii="Arial" w:hAnsi="Arial" w:cs="Arial"/>
              </w:rPr>
              <w:t xml:space="preserve"> </w:t>
            </w:r>
            <w:proofErr w:type="gramStart"/>
            <w:r w:rsidRPr="003A69C2">
              <w:rPr>
                <w:rFonts w:ascii="Arial" w:hAnsi="Arial" w:cs="Arial"/>
              </w:rPr>
              <w:t>and also</w:t>
            </w:r>
            <w:proofErr w:type="gramEnd"/>
            <w:r w:rsidRPr="003A69C2">
              <w:rPr>
                <w:rFonts w:ascii="Arial" w:hAnsi="Arial" w:cs="Arial"/>
              </w:rPr>
              <w:t xml:space="preserve"> the overall percentage local rate of diagnosis of Thy1, Thy2, Thy3a, Thy3f, Thy4 and Thy5 fine needle aspirations</w:t>
            </w:r>
            <w:r w:rsidR="003A69C2">
              <w:rPr>
                <w:rFonts w:ascii="Arial" w:hAnsi="Arial" w:cs="Arial"/>
              </w:rPr>
              <w:t xml:space="preserve"> (FNAs)</w:t>
            </w:r>
            <w:r w:rsidRPr="003A69C2">
              <w:rPr>
                <w:rFonts w:ascii="Arial" w:hAnsi="Arial" w:cs="Arial"/>
              </w:rPr>
              <w:t>.</w:t>
            </w:r>
            <w:r w:rsidRPr="003A69C2">
              <w:rPr>
                <w:rFonts w:ascii="Arial" w:hAnsi="Arial" w:cs="Arial"/>
                <w:vertAlign w:val="superscript"/>
              </w:rPr>
              <w:t>1</w:t>
            </w:r>
          </w:p>
          <w:p w14:paraId="6C30712D" w14:textId="2F2BA16C" w:rsidR="000E3517" w:rsidRPr="003A69C2" w:rsidRDefault="008C4C90" w:rsidP="003A69C2">
            <w:pPr>
              <w:pStyle w:val="Body"/>
              <w:spacing w:before="60" w:after="60"/>
              <w:ind w:left="0"/>
              <w:jc w:val="left"/>
              <w:rPr>
                <w:rFonts w:ascii="Arial" w:eastAsia="Arial" w:hAnsi="Arial" w:cs="Arial"/>
              </w:rPr>
            </w:pPr>
            <w:r w:rsidRPr="003A69C2">
              <w:rPr>
                <w:rFonts w:ascii="Arial" w:hAnsi="Arial" w:cs="Arial"/>
              </w:rPr>
              <w:t xml:space="preserve">While this audit template represents best clinical practice, undertaking such audits is time consuming and the resources required should not be underestimated. There may also be practical difficulties in data collection, </w:t>
            </w:r>
            <w:proofErr w:type="gramStart"/>
            <w:r w:rsidRPr="003A69C2">
              <w:rPr>
                <w:rFonts w:ascii="Arial" w:hAnsi="Arial" w:cs="Arial"/>
              </w:rPr>
              <w:t>e.g.</w:t>
            </w:r>
            <w:proofErr w:type="gramEnd"/>
            <w:r w:rsidRPr="003A69C2">
              <w:rPr>
                <w:rFonts w:ascii="Arial" w:hAnsi="Arial" w:cs="Arial"/>
              </w:rPr>
              <w:t xml:space="preserve"> in accessing the subsequent histology if FNA cytology, surgery, pathology reporting or multidisciplinary team meetings (MDTMs) take place at different centres or geographical locations.</w:t>
            </w:r>
          </w:p>
          <w:p w14:paraId="6C30712F"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rPr>
              <w:t>The British Association of Endocrine and Thyroid Surgeons (BAETS) owns and manages the UK Registry of Endocrine and Thyroid Surgery (UKRETS), an electronic audit of endocrine surgery performed in the UK.</w:t>
            </w:r>
            <w:r w:rsidRPr="003A69C2">
              <w:rPr>
                <w:rFonts w:ascii="Arial" w:hAnsi="Arial" w:cs="Arial"/>
                <w:vertAlign w:val="superscript"/>
              </w:rPr>
              <w:t>3</w:t>
            </w:r>
            <w:r w:rsidRPr="003A69C2">
              <w:rPr>
                <w:rFonts w:ascii="Arial" w:hAnsi="Arial" w:cs="Arial"/>
              </w:rPr>
              <w:t xml:space="preserve"> Participation is obligatory for BAETS Full </w:t>
            </w:r>
            <w:proofErr w:type="gramStart"/>
            <w:r w:rsidRPr="003A69C2">
              <w:rPr>
                <w:rFonts w:ascii="Arial" w:hAnsi="Arial" w:cs="Arial"/>
              </w:rPr>
              <w:t>Members</w:t>
            </w:r>
            <w:proofErr w:type="gramEnd"/>
            <w:r w:rsidRPr="003A69C2">
              <w:rPr>
                <w:rFonts w:ascii="Arial" w:hAnsi="Arial" w:cs="Arial"/>
              </w:rPr>
              <w:t xml:space="preserve"> and it is a requirement of The Heath Quality Improvement Partnership that all thyroid operations are entered onto UKRETS. Data is entered by surgeons. The audit fields include more detail on pre-operative cytology, which is then made publicly available in annual UKRETS reports. Completion of these audit fields by BAETS member surgeons is therefore strongly supported.</w:t>
            </w:r>
          </w:p>
        </w:tc>
      </w:tr>
      <w:tr w:rsidR="000E3517" w:rsidRPr="003A69C2" w14:paraId="6C307137"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31" w14:textId="35097DEB"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Aim</w:t>
            </w:r>
            <w:r w:rsidR="003A69C2">
              <w:rPr>
                <w:rFonts w:ascii="Arial" w:hAnsi="Arial" w:cs="Arial"/>
                <w:b/>
                <w:bCs/>
              </w:rPr>
              <w:t>s</w:t>
            </w:r>
            <w:r w:rsidRPr="003A69C2">
              <w:rPr>
                <w:rFonts w:ascii="Arial" w:hAnsi="Arial" w:cs="Arial"/>
                <w:b/>
                <w:bCs/>
              </w:rPr>
              <w:t xml:space="preserve"> &amp; </w:t>
            </w:r>
            <w:r w:rsidR="003A69C2">
              <w:rPr>
                <w:rFonts w:ascii="Arial" w:hAnsi="Arial" w:cs="Arial"/>
                <w:b/>
                <w:bCs/>
              </w:rPr>
              <w:t>o</w:t>
            </w:r>
            <w:r w:rsidRPr="003A69C2">
              <w:rPr>
                <w:rFonts w:ascii="Arial" w:hAnsi="Arial" w:cs="Arial"/>
                <w:b/>
                <w:bCs/>
              </w:rPr>
              <w:t>bjectives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32" w14:textId="780EC4DC" w:rsidR="000E3517" w:rsidRPr="003A69C2" w:rsidRDefault="008C4C90" w:rsidP="003A69C2">
            <w:pPr>
              <w:pStyle w:val="Body"/>
              <w:numPr>
                <w:ilvl w:val="0"/>
                <w:numId w:val="1"/>
              </w:numPr>
              <w:spacing w:before="60" w:after="60"/>
              <w:ind w:left="425" w:hanging="425"/>
              <w:jc w:val="left"/>
              <w:rPr>
                <w:rFonts w:ascii="Arial" w:hAnsi="Arial" w:cs="Arial"/>
              </w:rPr>
            </w:pPr>
            <w:r w:rsidRPr="003A69C2">
              <w:rPr>
                <w:rFonts w:ascii="Arial" w:hAnsi="Arial" w:cs="Arial"/>
              </w:rPr>
              <w:t>To determine in what proportion of thyroid cytology reports a Thy category is included as well as a prose explanation of the findings.</w:t>
            </w:r>
          </w:p>
          <w:p w14:paraId="6C307133" w14:textId="312338EE" w:rsidR="000E3517" w:rsidRPr="003A69C2" w:rsidRDefault="008C4C90" w:rsidP="003A69C2">
            <w:pPr>
              <w:pStyle w:val="Body"/>
              <w:numPr>
                <w:ilvl w:val="0"/>
                <w:numId w:val="1"/>
              </w:numPr>
              <w:spacing w:before="60" w:after="60"/>
              <w:ind w:left="425" w:hanging="425"/>
              <w:jc w:val="left"/>
              <w:rPr>
                <w:rFonts w:ascii="Arial" w:hAnsi="Arial" w:cs="Arial"/>
              </w:rPr>
            </w:pPr>
            <w:r w:rsidRPr="003A69C2">
              <w:rPr>
                <w:rFonts w:ascii="Arial" w:hAnsi="Arial" w:cs="Arial"/>
              </w:rPr>
              <w:t>To determine the percentage of all thyroid cytology cases that fall into each Thy category.</w:t>
            </w:r>
          </w:p>
          <w:p w14:paraId="6C307134" w14:textId="08C010A5" w:rsidR="000E3517" w:rsidRPr="003A69C2" w:rsidRDefault="008C4C90" w:rsidP="003A69C2">
            <w:pPr>
              <w:pStyle w:val="Body"/>
              <w:numPr>
                <w:ilvl w:val="0"/>
                <w:numId w:val="1"/>
              </w:numPr>
              <w:spacing w:before="60" w:after="60"/>
              <w:ind w:left="425" w:hanging="425"/>
              <w:jc w:val="left"/>
              <w:rPr>
                <w:rFonts w:ascii="Arial" w:hAnsi="Arial" w:cs="Arial"/>
              </w:rPr>
            </w:pPr>
            <w:r w:rsidRPr="003A69C2">
              <w:rPr>
                <w:rFonts w:ascii="Arial" w:hAnsi="Arial" w:cs="Arial"/>
              </w:rPr>
              <w:t xml:space="preserve">To correlate the cytology with any subsequent histology (taking the latter as the ‘gold standard’). To determine accuracy and provide an estimate of the </w:t>
            </w:r>
            <w:r w:rsidRPr="003A69C2">
              <w:rPr>
                <w:rFonts w:ascii="Arial" w:hAnsi="Arial" w:cs="Arial"/>
              </w:rPr>
              <w:lastRenderedPageBreak/>
              <w:t>PPV of each Thy category for neoplasia and malignancy (case numbers in particular categories may be small, so this should be interpreted with caution).</w:t>
            </w:r>
          </w:p>
          <w:p w14:paraId="6C307135" w14:textId="32925DDB" w:rsidR="000E3517" w:rsidRPr="003A69C2" w:rsidRDefault="008C4C90" w:rsidP="003A69C2">
            <w:pPr>
              <w:pStyle w:val="Body"/>
              <w:numPr>
                <w:ilvl w:val="0"/>
                <w:numId w:val="1"/>
              </w:numPr>
              <w:spacing w:before="60" w:after="60"/>
              <w:ind w:left="425" w:hanging="425"/>
              <w:jc w:val="left"/>
              <w:rPr>
                <w:rFonts w:ascii="Arial" w:hAnsi="Arial" w:cs="Arial"/>
              </w:rPr>
            </w:pPr>
            <w:r w:rsidRPr="003A69C2">
              <w:rPr>
                <w:rFonts w:ascii="Arial" w:hAnsi="Arial" w:cs="Arial"/>
              </w:rPr>
              <w:t>To assess the number of Thy4/5 cases that undergo discussion at thyroid cancer MDTMs.</w:t>
            </w:r>
            <w:r w:rsidR="003A69C2">
              <w:rPr>
                <w:rFonts w:ascii="Arial" w:hAnsi="Arial" w:cs="Arial"/>
              </w:rPr>
              <w:t xml:space="preserve"> </w:t>
            </w:r>
          </w:p>
          <w:p w14:paraId="6C307136" w14:textId="77777777" w:rsidR="000E3517" w:rsidRPr="003A69C2" w:rsidRDefault="008C4C90" w:rsidP="003A69C2">
            <w:pPr>
              <w:pStyle w:val="Body"/>
              <w:numPr>
                <w:ilvl w:val="0"/>
                <w:numId w:val="1"/>
              </w:numPr>
              <w:spacing w:before="60" w:after="60"/>
              <w:ind w:left="425" w:hanging="425"/>
              <w:jc w:val="left"/>
              <w:rPr>
                <w:rFonts w:ascii="Arial" w:hAnsi="Arial" w:cs="Arial"/>
              </w:rPr>
            </w:pPr>
            <w:r w:rsidRPr="003A69C2">
              <w:rPr>
                <w:rFonts w:ascii="Arial" w:hAnsi="Arial" w:cs="Arial"/>
              </w:rPr>
              <w:t>On local preference, the number of Thy3 (Thy3a and/or Thy3f) cases that undergo discussion at thyroid cancer MDTMs can also be included.</w:t>
            </w:r>
          </w:p>
        </w:tc>
      </w:tr>
      <w:tr w:rsidR="000E3517" w:rsidRPr="003A69C2" w14:paraId="6C307146"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38"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lastRenderedPageBreak/>
              <w:t>Standards &amp; criteria</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39" w14:textId="77777777" w:rsidR="000E3517" w:rsidRPr="003A69C2" w:rsidRDefault="008C4C90" w:rsidP="003A69C2">
            <w:pPr>
              <w:pStyle w:val="Body"/>
              <w:spacing w:before="60" w:after="120"/>
              <w:ind w:left="0"/>
              <w:jc w:val="left"/>
              <w:rPr>
                <w:rFonts w:ascii="Arial" w:eastAsia="Arial" w:hAnsi="Arial" w:cs="Arial"/>
                <w:color w:val="FF00FF"/>
                <w:u w:color="FF00FF"/>
              </w:rPr>
            </w:pPr>
            <w:r w:rsidRPr="003A69C2">
              <w:rPr>
                <w:rFonts w:ascii="Arial" w:hAnsi="Arial" w:cs="Arial"/>
                <w:b/>
                <w:bCs/>
              </w:rPr>
              <w:t xml:space="preserve">Criteria range: </w:t>
            </w:r>
          </w:p>
          <w:p w14:paraId="6C30713A" w14:textId="77777777" w:rsidR="000E3517" w:rsidRPr="003A69C2" w:rsidRDefault="008C4C90" w:rsidP="003A69C2">
            <w:pPr>
              <w:pStyle w:val="ListParagraph"/>
              <w:numPr>
                <w:ilvl w:val="0"/>
                <w:numId w:val="2"/>
              </w:numPr>
              <w:spacing w:before="60" w:after="60"/>
              <w:ind w:left="425" w:hanging="425"/>
              <w:jc w:val="left"/>
              <w:rPr>
                <w:rFonts w:ascii="Arial" w:hAnsi="Arial" w:cs="Arial"/>
                <w:lang w:val="en-GB"/>
              </w:rPr>
            </w:pPr>
            <w:r w:rsidRPr="003A69C2">
              <w:rPr>
                <w:rFonts w:ascii="Arial" w:hAnsi="Arial" w:cs="Arial"/>
                <w:lang w:val="en-GB"/>
              </w:rPr>
              <w:t>100%.</w:t>
            </w:r>
          </w:p>
          <w:p w14:paraId="6C30713B" w14:textId="77777777" w:rsidR="000E3517" w:rsidRPr="003A69C2" w:rsidRDefault="008C4C90" w:rsidP="003A69C2">
            <w:pPr>
              <w:pStyle w:val="ListParagraph"/>
              <w:numPr>
                <w:ilvl w:val="0"/>
                <w:numId w:val="2"/>
              </w:numPr>
              <w:spacing w:before="60" w:after="60"/>
              <w:ind w:left="425" w:hanging="425"/>
              <w:jc w:val="left"/>
              <w:rPr>
                <w:rFonts w:ascii="Arial" w:hAnsi="Arial" w:cs="Arial"/>
                <w:lang w:val="en-GB"/>
              </w:rPr>
            </w:pPr>
            <w:r w:rsidRPr="003A69C2">
              <w:rPr>
                <w:rFonts w:ascii="Arial" w:hAnsi="Arial" w:cs="Arial"/>
                <w:lang w:val="en-GB"/>
              </w:rPr>
              <w:t>To be determined nationally as more data becomes available. It is recognised that the increasing use of ultrasound to assess thyroid nodules and selection of those requiring FNA will reduce the proportion of Thy2 cytology and increase the proportion of Thy3a and above, confounding comparison with previously published data.</w:t>
            </w:r>
          </w:p>
          <w:p w14:paraId="6C30713C" w14:textId="5292C9F1" w:rsidR="000E3517" w:rsidRPr="003A69C2" w:rsidRDefault="008C4C90" w:rsidP="003A69C2">
            <w:pPr>
              <w:pStyle w:val="ListParagraph"/>
              <w:numPr>
                <w:ilvl w:val="0"/>
                <w:numId w:val="2"/>
              </w:numPr>
              <w:spacing w:before="60" w:after="60"/>
              <w:ind w:left="425" w:hanging="425"/>
              <w:jc w:val="left"/>
              <w:rPr>
                <w:rFonts w:ascii="Arial" w:hAnsi="Arial" w:cs="Arial"/>
                <w:lang w:val="en-GB"/>
              </w:rPr>
            </w:pPr>
            <w:r w:rsidRPr="003A69C2">
              <w:rPr>
                <w:rFonts w:ascii="Arial" w:hAnsi="Arial" w:cs="Arial"/>
                <w:lang w:val="en-GB"/>
              </w:rPr>
              <w:t>The PPV of Thy5 for malignancy from the 2017 national BAETS audit is around 98%, although a target rate PPV of 99%+ is suggested.</w:t>
            </w:r>
            <w:r w:rsidR="0079623D" w:rsidRPr="003A69C2">
              <w:rPr>
                <w:rFonts w:ascii="Arial" w:hAnsi="Arial" w:cs="Arial"/>
                <w:vertAlign w:val="superscript"/>
                <w:lang w:val="en-GB"/>
              </w:rPr>
              <w:t>3</w:t>
            </w:r>
            <w:r w:rsidRPr="003A69C2">
              <w:rPr>
                <w:rFonts w:ascii="Arial" w:hAnsi="Arial" w:cs="Arial"/>
                <w:lang w:val="en-GB"/>
              </w:rPr>
              <w:t xml:space="preserve"> TBS2 has a PPV of 97–99% pre-NIFTP and 94–96% post-NIFTP</w:t>
            </w:r>
            <w:r w:rsidRPr="003A69C2">
              <w:rPr>
                <w:rFonts w:ascii="Arial" w:hAnsi="Arial" w:cs="Arial"/>
                <w:i/>
                <w:iCs/>
                <w:lang w:val="en-GB"/>
              </w:rPr>
              <w:t>.</w:t>
            </w:r>
            <w:r w:rsidRPr="003A69C2">
              <w:rPr>
                <w:rFonts w:ascii="Arial" w:hAnsi="Arial" w:cs="Arial"/>
                <w:vertAlign w:val="superscript"/>
                <w:lang w:val="en-GB"/>
              </w:rPr>
              <w:t>2</w:t>
            </w:r>
            <w:r w:rsidRPr="003A69C2">
              <w:rPr>
                <w:rFonts w:ascii="Arial" w:hAnsi="Arial" w:cs="Arial"/>
                <w:i/>
                <w:iCs/>
                <w:lang w:val="en-GB"/>
              </w:rPr>
              <w:t xml:space="preserve"> </w:t>
            </w:r>
            <w:r w:rsidRPr="003A69C2">
              <w:rPr>
                <w:rFonts w:ascii="Arial" w:hAnsi="Arial" w:cs="Arial"/>
                <w:lang w:val="en-GB"/>
              </w:rPr>
              <w:t>Given the relatively low prevalence of NIFTP lesions in the UK population, a rate of 97–99% PPV for malignancy for Thy5 is to be expected.</w:t>
            </w:r>
          </w:p>
          <w:p w14:paraId="6C30713D" w14:textId="77777777" w:rsidR="000E3517" w:rsidRPr="003A69C2" w:rsidRDefault="008C4C90" w:rsidP="003A69C2">
            <w:pPr>
              <w:pStyle w:val="ListParagraph"/>
              <w:numPr>
                <w:ilvl w:val="0"/>
                <w:numId w:val="2"/>
              </w:numPr>
              <w:spacing w:before="60" w:after="60"/>
              <w:ind w:left="425" w:hanging="425"/>
              <w:rPr>
                <w:rFonts w:ascii="Arial" w:hAnsi="Arial" w:cs="Arial"/>
                <w:lang w:val="en-GB"/>
              </w:rPr>
            </w:pPr>
            <w:r w:rsidRPr="003A69C2">
              <w:rPr>
                <w:rFonts w:ascii="Arial" w:hAnsi="Arial" w:cs="Arial"/>
                <w:lang w:val="en-GB"/>
              </w:rPr>
              <w:t>100% for Thy4 and Thy5.</w:t>
            </w:r>
            <w:r w:rsidRPr="003A69C2">
              <w:rPr>
                <w:rFonts w:ascii="Arial" w:hAnsi="Arial" w:cs="Arial"/>
                <w:color w:val="FF00FF"/>
                <w:u w:color="FF00FF"/>
                <w:lang w:val="en-GB"/>
              </w:rPr>
              <w:t xml:space="preserve"> </w:t>
            </w:r>
          </w:p>
          <w:p w14:paraId="6C30713E" w14:textId="77777777" w:rsidR="000E3517" w:rsidRPr="003A69C2" w:rsidRDefault="008C4C90" w:rsidP="003A69C2">
            <w:pPr>
              <w:pStyle w:val="ListParagraph"/>
              <w:numPr>
                <w:ilvl w:val="0"/>
                <w:numId w:val="2"/>
              </w:numPr>
              <w:spacing w:before="60" w:after="60"/>
              <w:ind w:left="425" w:hanging="425"/>
              <w:rPr>
                <w:rFonts w:ascii="Arial" w:hAnsi="Arial" w:cs="Arial"/>
                <w:lang w:val="en-GB"/>
              </w:rPr>
            </w:pPr>
            <w:r w:rsidRPr="003A69C2">
              <w:rPr>
                <w:rFonts w:ascii="Arial" w:hAnsi="Arial" w:cs="Arial"/>
                <w:lang w:val="en-GB"/>
              </w:rPr>
              <w:t>Local agreement for Thy3a and Thy3f.</w:t>
            </w:r>
          </w:p>
          <w:p w14:paraId="00CD2375" w14:textId="77777777" w:rsidR="003A69C2" w:rsidRDefault="003A69C2" w:rsidP="003A69C2">
            <w:pPr>
              <w:pStyle w:val="Body"/>
              <w:spacing w:before="60" w:after="120"/>
              <w:ind w:left="0"/>
              <w:jc w:val="left"/>
              <w:rPr>
                <w:rFonts w:ascii="Arial" w:hAnsi="Arial" w:cs="Arial"/>
                <w:b/>
                <w:bCs/>
              </w:rPr>
            </w:pPr>
          </w:p>
          <w:p w14:paraId="6C307140" w14:textId="3B1A737C" w:rsidR="000E3517" w:rsidRPr="003A69C2" w:rsidRDefault="008C4C90" w:rsidP="003A69C2">
            <w:pPr>
              <w:pStyle w:val="Body"/>
              <w:spacing w:before="60" w:after="120"/>
              <w:ind w:left="0"/>
              <w:jc w:val="left"/>
              <w:rPr>
                <w:rFonts w:ascii="Arial" w:eastAsia="Arial" w:hAnsi="Arial" w:cs="Arial"/>
                <w:b/>
                <w:bCs/>
              </w:rPr>
            </w:pPr>
            <w:r w:rsidRPr="003A69C2">
              <w:rPr>
                <w:rFonts w:ascii="Arial" w:hAnsi="Arial" w:cs="Arial"/>
                <w:b/>
                <w:bCs/>
              </w:rPr>
              <w:t>The agreed standards:</w:t>
            </w:r>
            <w:r w:rsidR="003A69C2">
              <w:rPr>
                <w:rFonts w:ascii="Arial" w:hAnsi="Arial" w:cs="Arial"/>
                <w:b/>
                <w:bCs/>
              </w:rPr>
              <w:t xml:space="preserve"> </w:t>
            </w:r>
            <w:r w:rsidRPr="003A69C2">
              <w:rPr>
                <w:rFonts w:ascii="Arial" w:hAnsi="Arial" w:cs="Arial"/>
                <w:b/>
                <w:bCs/>
              </w:rPr>
              <w:t xml:space="preserve"> </w:t>
            </w:r>
          </w:p>
          <w:p w14:paraId="6C307141" w14:textId="20BC60D4" w:rsidR="000E3517" w:rsidRPr="003A69C2" w:rsidRDefault="008C4C90" w:rsidP="003A69C2">
            <w:pPr>
              <w:pStyle w:val="ListParagraph"/>
              <w:numPr>
                <w:ilvl w:val="0"/>
                <w:numId w:val="3"/>
              </w:numPr>
              <w:spacing w:before="60" w:after="60"/>
              <w:ind w:left="425" w:hanging="425"/>
              <w:jc w:val="left"/>
              <w:rPr>
                <w:rFonts w:ascii="Arial" w:hAnsi="Arial" w:cs="Arial"/>
                <w:lang w:val="en-GB"/>
              </w:rPr>
            </w:pPr>
            <w:r w:rsidRPr="003A69C2">
              <w:rPr>
                <w:rFonts w:ascii="Arial" w:hAnsi="Arial" w:cs="Arial"/>
                <w:lang w:val="en-GB"/>
              </w:rPr>
              <w:t>100% thyroid cytology reports include a Thy category as well as a prose explanation of the findings.</w:t>
            </w:r>
          </w:p>
          <w:p w14:paraId="6C307142" w14:textId="7F149AF2" w:rsidR="000E3517" w:rsidRPr="003A69C2" w:rsidRDefault="008C4C90" w:rsidP="003A69C2">
            <w:pPr>
              <w:pStyle w:val="ListParagraph"/>
              <w:numPr>
                <w:ilvl w:val="0"/>
                <w:numId w:val="3"/>
              </w:numPr>
              <w:spacing w:before="60" w:after="60"/>
              <w:ind w:left="425" w:hanging="425"/>
              <w:jc w:val="left"/>
              <w:rPr>
                <w:rFonts w:ascii="Arial" w:hAnsi="Arial" w:cs="Arial"/>
                <w:lang w:val="en-GB"/>
              </w:rPr>
            </w:pPr>
            <w:r w:rsidRPr="003A69C2">
              <w:rPr>
                <w:rFonts w:ascii="Arial" w:hAnsi="Arial" w:cs="Arial"/>
                <w:lang w:val="en-GB"/>
              </w:rPr>
              <w:t>The percentage of all thyroid cytology cases that fall into each Thy category is appropriate (as per national data).</w:t>
            </w:r>
          </w:p>
          <w:p w14:paraId="6C307143" w14:textId="77777777" w:rsidR="000E3517" w:rsidRPr="003A69C2" w:rsidRDefault="008C4C90" w:rsidP="003A69C2">
            <w:pPr>
              <w:pStyle w:val="ListParagraph"/>
              <w:numPr>
                <w:ilvl w:val="0"/>
                <w:numId w:val="3"/>
              </w:numPr>
              <w:spacing w:before="60" w:after="60"/>
              <w:ind w:left="425" w:hanging="425"/>
              <w:jc w:val="left"/>
              <w:rPr>
                <w:rFonts w:ascii="Arial" w:hAnsi="Arial" w:cs="Arial"/>
                <w:lang w:val="en-GB"/>
              </w:rPr>
            </w:pPr>
            <w:r w:rsidRPr="003A69C2">
              <w:rPr>
                <w:rFonts w:ascii="Arial" w:hAnsi="Arial" w:cs="Arial"/>
                <w:lang w:val="en-GB"/>
              </w:rPr>
              <w:t>PPV for malignancy for Thy5 is 97–99 % plus. See GO89 Section 6.2 comment</w:t>
            </w:r>
          </w:p>
          <w:p w14:paraId="6C307144" w14:textId="6DF87A79" w:rsidR="000E3517" w:rsidRPr="003A69C2" w:rsidRDefault="008C4C90" w:rsidP="003A69C2">
            <w:pPr>
              <w:pStyle w:val="ListParagraph"/>
              <w:numPr>
                <w:ilvl w:val="0"/>
                <w:numId w:val="3"/>
              </w:numPr>
              <w:spacing w:before="60" w:after="60"/>
              <w:ind w:left="425" w:hanging="425"/>
              <w:jc w:val="left"/>
              <w:rPr>
                <w:rFonts w:ascii="Arial" w:hAnsi="Arial" w:cs="Arial"/>
                <w:lang w:val="en-GB"/>
              </w:rPr>
            </w:pPr>
            <w:r w:rsidRPr="003A69C2">
              <w:rPr>
                <w:rFonts w:ascii="Arial" w:hAnsi="Arial" w:cs="Arial"/>
                <w:lang w:val="en-GB"/>
              </w:rPr>
              <w:t>100% of Thy4/5 cases undergo discussion at thyroid cancer MDTMs.</w:t>
            </w:r>
            <w:r w:rsidR="003A69C2">
              <w:rPr>
                <w:rFonts w:ascii="Arial" w:hAnsi="Arial" w:cs="Arial"/>
                <w:lang w:val="en-GB"/>
              </w:rPr>
              <w:t xml:space="preserve"> </w:t>
            </w:r>
          </w:p>
          <w:p w14:paraId="6C307145" w14:textId="56B94374" w:rsidR="000E3517" w:rsidRPr="003A69C2" w:rsidRDefault="008C4C90" w:rsidP="003A69C2">
            <w:pPr>
              <w:pStyle w:val="ListParagraph"/>
              <w:numPr>
                <w:ilvl w:val="0"/>
                <w:numId w:val="3"/>
              </w:numPr>
              <w:spacing w:before="60" w:after="60"/>
              <w:ind w:left="425" w:hanging="425"/>
              <w:jc w:val="left"/>
              <w:rPr>
                <w:rFonts w:ascii="Arial" w:hAnsi="Arial" w:cs="Arial"/>
                <w:lang w:val="en-GB"/>
              </w:rPr>
            </w:pPr>
            <w:r w:rsidRPr="003A69C2">
              <w:rPr>
                <w:rFonts w:ascii="Arial" w:hAnsi="Arial" w:cs="Arial"/>
                <w:lang w:val="en-GB"/>
              </w:rPr>
              <w:t xml:space="preserve">The number of Thy3 (Thy3a and/or Thy3f) cases that undergo discussion at thyroid cancer MDTMs </w:t>
            </w:r>
            <w:r w:rsidR="00BF4FEA" w:rsidRPr="003A69C2">
              <w:rPr>
                <w:rFonts w:ascii="Arial" w:hAnsi="Arial" w:cs="Arial"/>
                <w:lang w:val="en-GB"/>
              </w:rPr>
              <w:t>i</w:t>
            </w:r>
            <w:r w:rsidRPr="003A69C2">
              <w:rPr>
                <w:rFonts w:ascii="Arial" w:hAnsi="Arial" w:cs="Arial"/>
                <w:lang w:val="en-GB"/>
              </w:rPr>
              <w:t>s appropriate (as per local preferences).</w:t>
            </w:r>
          </w:p>
        </w:tc>
      </w:tr>
      <w:tr w:rsidR="000E3517" w:rsidRPr="003A69C2" w14:paraId="6C307168"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47" w14:textId="77777777" w:rsidR="000E3517" w:rsidRPr="003A69C2" w:rsidRDefault="008C4C90" w:rsidP="003A69C2">
            <w:pPr>
              <w:pStyle w:val="Body"/>
              <w:spacing w:before="60" w:after="60"/>
              <w:ind w:left="0"/>
              <w:jc w:val="left"/>
              <w:rPr>
                <w:rFonts w:ascii="Arial" w:eastAsia="Arial" w:hAnsi="Arial" w:cs="Arial"/>
                <w:b/>
                <w:bCs/>
              </w:rPr>
            </w:pPr>
            <w:r w:rsidRPr="003A69C2">
              <w:rPr>
                <w:rFonts w:ascii="Arial" w:hAnsi="Arial" w:cs="Arial"/>
                <w:b/>
                <w:bCs/>
              </w:rPr>
              <w:t>Method</w:t>
            </w:r>
          </w:p>
          <w:p w14:paraId="6C307148" w14:textId="77777777" w:rsidR="000E3517" w:rsidRPr="003A69C2" w:rsidRDefault="000E3517" w:rsidP="003A69C2">
            <w:pPr>
              <w:pStyle w:val="Body"/>
              <w:spacing w:before="60" w:after="60"/>
              <w:ind w:left="0"/>
              <w:jc w:val="left"/>
              <w:rPr>
                <w:rFonts w:ascii="Arial" w:eastAsia="Arial" w:hAnsi="Arial" w:cs="Arial"/>
                <w:b/>
                <w:bCs/>
              </w:rPr>
            </w:pPr>
          </w:p>
          <w:p w14:paraId="6C307149" w14:textId="77777777" w:rsidR="000E3517" w:rsidRPr="003A69C2" w:rsidRDefault="000E3517" w:rsidP="003A69C2">
            <w:pPr>
              <w:pStyle w:val="Body"/>
              <w:spacing w:before="60" w:after="60"/>
              <w:ind w:left="0"/>
              <w:jc w:val="left"/>
              <w:rPr>
                <w:rFonts w:ascii="Arial" w:eastAsia="Arial" w:hAnsi="Arial" w:cs="Arial"/>
                <w:b/>
                <w:bCs/>
              </w:rPr>
            </w:pPr>
          </w:p>
          <w:p w14:paraId="6C30714A" w14:textId="77777777" w:rsidR="000E3517" w:rsidRPr="003A69C2" w:rsidRDefault="000E3517" w:rsidP="003A69C2">
            <w:pPr>
              <w:pStyle w:val="Body"/>
              <w:spacing w:before="60" w:after="60"/>
              <w:ind w:left="0"/>
              <w:jc w:val="left"/>
              <w:rPr>
                <w:rFonts w:ascii="Arial" w:eastAsia="Arial" w:hAnsi="Arial" w:cs="Arial"/>
                <w:b/>
                <w:bCs/>
              </w:rPr>
            </w:pPr>
          </w:p>
          <w:p w14:paraId="6C30714B" w14:textId="77777777" w:rsidR="000E3517" w:rsidRPr="003A69C2" w:rsidRDefault="000E3517" w:rsidP="003A69C2">
            <w:pPr>
              <w:pStyle w:val="Body"/>
              <w:spacing w:before="60" w:after="60"/>
              <w:ind w:left="0"/>
              <w:jc w:val="left"/>
              <w:rPr>
                <w:rFonts w:ascii="Arial" w:eastAsia="Arial" w:hAnsi="Arial" w:cs="Arial"/>
                <w:b/>
                <w:bCs/>
              </w:rPr>
            </w:pPr>
          </w:p>
          <w:p w14:paraId="6C30714C" w14:textId="77777777" w:rsidR="000E3517" w:rsidRPr="003A69C2" w:rsidRDefault="000E3517" w:rsidP="003A69C2">
            <w:pPr>
              <w:pStyle w:val="Body"/>
              <w:spacing w:before="60" w:after="60"/>
              <w:ind w:left="0"/>
              <w:jc w:val="left"/>
              <w:rPr>
                <w:rFonts w:ascii="Arial" w:eastAsia="Arial" w:hAnsi="Arial" w:cs="Arial"/>
                <w:b/>
                <w:bCs/>
              </w:rPr>
            </w:pPr>
          </w:p>
          <w:p w14:paraId="6C30714D" w14:textId="77777777" w:rsidR="000E3517" w:rsidRPr="003A69C2" w:rsidRDefault="000E3517" w:rsidP="003A69C2">
            <w:pPr>
              <w:pStyle w:val="Body"/>
              <w:spacing w:before="60" w:after="60"/>
              <w:ind w:left="0"/>
              <w:jc w:val="left"/>
              <w:rPr>
                <w:rFonts w:ascii="Arial" w:eastAsia="Arial" w:hAnsi="Arial" w:cs="Arial"/>
                <w:b/>
                <w:bCs/>
              </w:rPr>
            </w:pPr>
          </w:p>
          <w:p w14:paraId="6C30714E" w14:textId="77777777" w:rsidR="000E3517" w:rsidRPr="003A69C2" w:rsidRDefault="000E3517" w:rsidP="003A69C2">
            <w:pPr>
              <w:pStyle w:val="Body"/>
              <w:spacing w:before="60" w:after="60"/>
              <w:ind w:left="0"/>
              <w:jc w:val="left"/>
              <w:rPr>
                <w:rFonts w:ascii="Arial" w:eastAsia="Arial" w:hAnsi="Arial" w:cs="Arial"/>
                <w:b/>
                <w:bCs/>
              </w:rPr>
            </w:pPr>
          </w:p>
          <w:p w14:paraId="6C30714F" w14:textId="77777777" w:rsidR="000E3517" w:rsidRPr="003A69C2" w:rsidRDefault="000E3517" w:rsidP="003A69C2">
            <w:pPr>
              <w:pStyle w:val="Body"/>
              <w:spacing w:before="60" w:after="60"/>
              <w:ind w:left="0"/>
              <w:jc w:val="left"/>
              <w:rPr>
                <w:rFonts w:ascii="Arial" w:eastAsia="Arial" w:hAnsi="Arial" w:cs="Arial"/>
                <w:b/>
                <w:bCs/>
              </w:rPr>
            </w:pPr>
          </w:p>
          <w:p w14:paraId="6C307150" w14:textId="77777777" w:rsidR="000E3517" w:rsidRPr="003A69C2" w:rsidRDefault="000E3517" w:rsidP="003A69C2">
            <w:pPr>
              <w:pStyle w:val="Body"/>
              <w:spacing w:before="60" w:after="60"/>
              <w:ind w:left="0"/>
              <w:jc w:val="left"/>
              <w:rPr>
                <w:rFonts w:ascii="Arial" w:eastAsia="Arial" w:hAnsi="Arial" w:cs="Arial"/>
                <w:b/>
                <w:bCs/>
              </w:rPr>
            </w:pPr>
          </w:p>
          <w:p w14:paraId="6C307151" w14:textId="77777777" w:rsidR="000E3517" w:rsidRPr="003A69C2" w:rsidRDefault="000E3517" w:rsidP="003A69C2">
            <w:pPr>
              <w:pStyle w:val="Body"/>
              <w:spacing w:before="60" w:after="60"/>
              <w:ind w:left="0"/>
              <w:jc w:val="left"/>
              <w:rPr>
                <w:rFonts w:ascii="Arial" w:eastAsia="Arial" w:hAnsi="Arial" w:cs="Arial"/>
                <w:b/>
                <w:bCs/>
              </w:rPr>
            </w:pPr>
          </w:p>
          <w:p w14:paraId="6C307152" w14:textId="77777777" w:rsidR="000E3517" w:rsidRPr="003A69C2" w:rsidRDefault="000E3517" w:rsidP="003A69C2">
            <w:pPr>
              <w:pStyle w:val="Body"/>
              <w:spacing w:before="60" w:after="60"/>
              <w:ind w:left="0"/>
              <w:jc w:val="left"/>
              <w:rPr>
                <w:rFonts w:ascii="Arial" w:eastAsia="Arial" w:hAnsi="Arial" w:cs="Arial"/>
                <w:b/>
                <w:bCs/>
              </w:rPr>
            </w:pPr>
          </w:p>
          <w:p w14:paraId="6C307153" w14:textId="77777777" w:rsidR="000E3517" w:rsidRPr="003A69C2" w:rsidRDefault="000E3517" w:rsidP="003A69C2">
            <w:pPr>
              <w:pStyle w:val="Body"/>
              <w:spacing w:before="60" w:after="60"/>
              <w:ind w:left="0"/>
              <w:jc w:val="left"/>
              <w:rPr>
                <w:rFonts w:ascii="Arial" w:eastAsia="Arial" w:hAnsi="Arial" w:cs="Arial"/>
                <w:b/>
                <w:bCs/>
              </w:rPr>
            </w:pPr>
          </w:p>
          <w:p w14:paraId="6C307154" w14:textId="77777777" w:rsidR="000E3517" w:rsidRPr="003A69C2" w:rsidRDefault="000E3517" w:rsidP="003A69C2">
            <w:pPr>
              <w:pStyle w:val="Body"/>
              <w:spacing w:before="60" w:after="60"/>
              <w:ind w:left="0"/>
              <w:jc w:val="left"/>
              <w:rPr>
                <w:rFonts w:ascii="Arial" w:eastAsia="Arial" w:hAnsi="Arial" w:cs="Arial"/>
                <w:b/>
                <w:bCs/>
              </w:rPr>
            </w:pPr>
          </w:p>
          <w:p w14:paraId="6C307155" w14:textId="77777777" w:rsidR="000E3517" w:rsidRPr="003A69C2" w:rsidRDefault="000E3517" w:rsidP="003A69C2">
            <w:pPr>
              <w:pStyle w:val="Body"/>
              <w:spacing w:before="60" w:after="60"/>
              <w:ind w:left="0"/>
              <w:jc w:val="left"/>
              <w:rPr>
                <w:rFonts w:ascii="Arial" w:hAnsi="Arial" w:cs="Arial"/>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56" w14:textId="77777777" w:rsidR="000E3517" w:rsidRPr="003A69C2" w:rsidRDefault="008C4C90" w:rsidP="003A69C2">
            <w:pPr>
              <w:pStyle w:val="ListParagraph"/>
              <w:numPr>
                <w:ilvl w:val="0"/>
                <w:numId w:val="4"/>
              </w:numPr>
              <w:spacing w:before="60" w:after="60"/>
              <w:ind w:left="425" w:hanging="425"/>
              <w:jc w:val="left"/>
              <w:rPr>
                <w:rFonts w:ascii="Arial" w:hAnsi="Arial" w:cs="Arial"/>
                <w:lang w:val="en-GB"/>
              </w:rPr>
            </w:pPr>
            <w:r w:rsidRPr="003A69C2">
              <w:rPr>
                <w:rFonts w:ascii="Arial" w:hAnsi="Arial" w:cs="Arial"/>
                <w:lang w:val="en-GB"/>
              </w:rPr>
              <w:t xml:space="preserve">Retrospective selection of all thyroid cytology cases for a specified time period, </w:t>
            </w:r>
            <w:proofErr w:type="gramStart"/>
            <w:r w:rsidRPr="003A69C2">
              <w:rPr>
                <w:rFonts w:ascii="Arial" w:hAnsi="Arial" w:cs="Arial"/>
                <w:lang w:val="en-GB"/>
              </w:rPr>
              <w:t>e.g.</w:t>
            </w:r>
            <w:proofErr w:type="gramEnd"/>
            <w:r w:rsidRPr="003A69C2">
              <w:rPr>
                <w:rFonts w:ascii="Arial" w:hAnsi="Arial" w:cs="Arial"/>
                <w:lang w:val="en-GB"/>
              </w:rPr>
              <w:t xml:space="preserve"> one year.</w:t>
            </w:r>
          </w:p>
          <w:p w14:paraId="6C307157" w14:textId="77777777" w:rsidR="000E3517" w:rsidRPr="003A69C2" w:rsidRDefault="008C4C90" w:rsidP="003A69C2">
            <w:pPr>
              <w:pStyle w:val="ListParagraph"/>
              <w:spacing w:before="60" w:after="60"/>
              <w:ind w:left="442" w:hanging="17"/>
              <w:jc w:val="left"/>
              <w:rPr>
                <w:rFonts w:ascii="Arial" w:eastAsia="Arial" w:hAnsi="Arial" w:cs="Arial"/>
                <w:lang w:val="en-GB"/>
              </w:rPr>
            </w:pPr>
            <w:r w:rsidRPr="003A69C2">
              <w:rPr>
                <w:rFonts w:ascii="Arial" w:hAnsi="Arial" w:cs="Arial"/>
                <w:lang w:val="en-GB"/>
              </w:rPr>
              <w:t>Review of the cytology reports.</w:t>
            </w:r>
          </w:p>
          <w:p w14:paraId="6C307158" w14:textId="2D3EC20C" w:rsidR="000E3517" w:rsidRPr="003A69C2" w:rsidRDefault="008C4C90" w:rsidP="003A69C2">
            <w:pPr>
              <w:pStyle w:val="ListParagraph"/>
              <w:spacing w:before="60" w:after="60"/>
              <w:ind w:left="442" w:hanging="17"/>
              <w:jc w:val="left"/>
              <w:rPr>
                <w:rFonts w:ascii="Arial" w:eastAsia="Arial" w:hAnsi="Arial" w:cs="Arial"/>
                <w:lang w:val="en-GB"/>
              </w:rPr>
            </w:pPr>
            <w:r w:rsidRPr="003A69C2">
              <w:rPr>
                <w:rFonts w:ascii="Arial" w:hAnsi="Arial" w:cs="Arial"/>
                <w:lang w:val="en-GB"/>
              </w:rPr>
              <w:t xml:space="preserve">Record whether the report includes a Thy category (as specified in the original </w:t>
            </w:r>
            <w:proofErr w:type="spellStart"/>
            <w:r w:rsidRPr="003A69C2">
              <w:rPr>
                <w:rFonts w:ascii="Arial" w:hAnsi="Arial" w:cs="Arial"/>
                <w:lang w:val="en-GB"/>
              </w:rPr>
              <w:t>RCPath</w:t>
            </w:r>
            <w:proofErr w:type="spellEnd"/>
            <w:r w:rsidRPr="003A69C2">
              <w:rPr>
                <w:rFonts w:ascii="Arial" w:hAnsi="Arial" w:cs="Arial"/>
                <w:lang w:val="en-GB"/>
              </w:rPr>
              <w:t xml:space="preserve"> document) as well as a prose explanation of the findings. </w:t>
            </w:r>
          </w:p>
          <w:p w14:paraId="6C307159" w14:textId="316C25AA" w:rsidR="000E3517" w:rsidRPr="003A69C2" w:rsidRDefault="008C4C90" w:rsidP="003A69C2">
            <w:pPr>
              <w:pStyle w:val="ListParagraph"/>
              <w:numPr>
                <w:ilvl w:val="0"/>
                <w:numId w:val="4"/>
              </w:numPr>
              <w:spacing w:before="60" w:after="60"/>
              <w:ind w:left="425" w:hanging="425"/>
              <w:jc w:val="left"/>
              <w:rPr>
                <w:rFonts w:ascii="Arial" w:hAnsi="Arial" w:cs="Arial"/>
                <w:lang w:val="en-GB"/>
              </w:rPr>
            </w:pPr>
            <w:r w:rsidRPr="003A69C2">
              <w:rPr>
                <w:rFonts w:ascii="Arial" w:hAnsi="Arial" w:cs="Arial"/>
                <w:lang w:val="en-GB"/>
              </w:rPr>
              <w:t>Using the data from above, calculate the percentage of the total for each Thy category.</w:t>
            </w:r>
          </w:p>
          <w:p w14:paraId="6C30715A" w14:textId="58D5F6F3" w:rsidR="000E3517" w:rsidRPr="003A69C2" w:rsidRDefault="008C4C90" w:rsidP="003A69C2">
            <w:pPr>
              <w:pStyle w:val="ListParagraph"/>
              <w:numPr>
                <w:ilvl w:val="0"/>
                <w:numId w:val="4"/>
              </w:numPr>
              <w:spacing w:before="60" w:after="60"/>
              <w:ind w:left="425" w:hanging="425"/>
              <w:jc w:val="left"/>
              <w:rPr>
                <w:rFonts w:ascii="Arial" w:hAnsi="Arial" w:cs="Arial"/>
                <w:lang w:val="en-GB"/>
              </w:rPr>
            </w:pPr>
            <w:r w:rsidRPr="003A69C2">
              <w:rPr>
                <w:rFonts w:ascii="Arial" w:hAnsi="Arial" w:cs="Arial"/>
                <w:lang w:val="en-GB"/>
              </w:rPr>
              <w:t>For the cytology cases identified</w:t>
            </w:r>
            <w:r w:rsidR="003A69C2">
              <w:rPr>
                <w:rFonts w:ascii="Arial" w:hAnsi="Arial" w:cs="Arial"/>
                <w:lang w:val="en-GB"/>
              </w:rPr>
              <w:t>,</w:t>
            </w:r>
            <w:r w:rsidRPr="003A69C2">
              <w:rPr>
                <w:rFonts w:ascii="Arial" w:hAnsi="Arial" w:cs="Arial"/>
                <w:lang w:val="en-GB"/>
              </w:rPr>
              <w:t xml:space="preserve"> search for corresponding histology. Correlate the cytology Thy category with the histology, using the following histology categories: </w:t>
            </w:r>
          </w:p>
          <w:p w14:paraId="6C30715B" w14:textId="77777777" w:rsidR="000E3517" w:rsidRPr="003A69C2" w:rsidRDefault="008C4C90" w:rsidP="003A69C2">
            <w:pPr>
              <w:pStyle w:val="ListParagraph"/>
              <w:numPr>
                <w:ilvl w:val="0"/>
                <w:numId w:val="5"/>
              </w:numPr>
              <w:spacing w:before="60" w:after="60"/>
              <w:ind w:left="850" w:hanging="425"/>
              <w:jc w:val="left"/>
              <w:rPr>
                <w:rFonts w:ascii="Arial" w:hAnsi="Arial" w:cs="Arial"/>
                <w:lang w:val="en-GB"/>
              </w:rPr>
            </w:pPr>
            <w:r w:rsidRPr="003A69C2">
              <w:rPr>
                <w:rFonts w:ascii="Arial" w:hAnsi="Arial" w:cs="Arial"/>
                <w:lang w:val="en-GB"/>
              </w:rPr>
              <w:t>non-neoplastic (</w:t>
            </w:r>
            <w:proofErr w:type="gramStart"/>
            <w:r w:rsidRPr="003A69C2">
              <w:rPr>
                <w:rFonts w:ascii="Arial" w:hAnsi="Arial" w:cs="Arial"/>
                <w:lang w:val="en-GB"/>
              </w:rPr>
              <w:t>e.g.</w:t>
            </w:r>
            <w:proofErr w:type="gramEnd"/>
            <w:r w:rsidRPr="003A69C2">
              <w:rPr>
                <w:rFonts w:ascii="Arial" w:hAnsi="Arial" w:cs="Arial"/>
                <w:lang w:val="en-GB"/>
              </w:rPr>
              <w:t xml:space="preserve"> colloid nodule, hyperplastic nodule, Hashimoto’s thyroiditis)</w:t>
            </w:r>
          </w:p>
          <w:p w14:paraId="6C30715C" w14:textId="77777777" w:rsidR="000E3517" w:rsidRPr="003A69C2" w:rsidRDefault="008C4C90" w:rsidP="003A69C2">
            <w:pPr>
              <w:pStyle w:val="ListParagraph"/>
              <w:numPr>
                <w:ilvl w:val="0"/>
                <w:numId w:val="5"/>
              </w:numPr>
              <w:spacing w:before="60" w:after="60"/>
              <w:ind w:left="850" w:hanging="425"/>
              <w:jc w:val="left"/>
              <w:rPr>
                <w:rFonts w:ascii="Arial" w:hAnsi="Arial" w:cs="Arial"/>
                <w:lang w:val="en-GB"/>
              </w:rPr>
            </w:pPr>
            <w:r w:rsidRPr="003A69C2">
              <w:rPr>
                <w:rFonts w:ascii="Arial" w:hAnsi="Arial" w:cs="Arial"/>
                <w:lang w:val="en-GB"/>
              </w:rPr>
              <w:t>neoplastic, benign (</w:t>
            </w:r>
            <w:proofErr w:type="gramStart"/>
            <w:r w:rsidRPr="003A69C2">
              <w:rPr>
                <w:rFonts w:ascii="Arial" w:hAnsi="Arial" w:cs="Arial"/>
                <w:lang w:val="en-GB"/>
              </w:rPr>
              <w:t>e.g.</w:t>
            </w:r>
            <w:proofErr w:type="gramEnd"/>
            <w:r w:rsidRPr="003A69C2">
              <w:rPr>
                <w:rFonts w:ascii="Arial" w:hAnsi="Arial" w:cs="Arial"/>
                <w:lang w:val="en-GB"/>
              </w:rPr>
              <w:t xml:space="preserve"> follicular adenoma)</w:t>
            </w:r>
          </w:p>
          <w:p w14:paraId="6C30715D" w14:textId="77777777" w:rsidR="000E3517" w:rsidRPr="003A69C2" w:rsidRDefault="008C4C90" w:rsidP="003A69C2">
            <w:pPr>
              <w:pStyle w:val="ListParagraph"/>
              <w:numPr>
                <w:ilvl w:val="0"/>
                <w:numId w:val="5"/>
              </w:numPr>
              <w:spacing w:before="60" w:after="60"/>
              <w:ind w:left="850" w:hanging="425"/>
              <w:jc w:val="left"/>
              <w:rPr>
                <w:rFonts w:ascii="Arial" w:hAnsi="Arial" w:cs="Arial"/>
                <w:lang w:val="en-GB"/>
              </w:rPr>
            </w:pPr>
            <w:r w:rsidRPr="003A69C2">
              <w:rPr>
                <w:rFonts w:ascii="Arial" w:hAnsi="Arial" w:cs="Arial"/>
                <w:lang w:val="en-GB"/>
              </w:rPr>
              <w:t>neoplastic, malignant (</w:t>
            </w:r>
            <w:proofErr w:type="gramStart"/>
            <w:r w:rsidRPr="003A69C2">
              <w:rPr>
                <w:rFonts w:ascii="Arial" w:hAnsi="Arial" w:cs="Arial"/>
                <w:lang w:val="en-GB"/>
              </w:rPr>
              <w:t>e.g.</w:t>
            </w:r>
            <w:proofErr w:type="gramEnd"/>
            <w:r w:rsidRPr="003A69C2">
              <w:rPr>
                <w:rFonts w:ascii="Arial" w:hAnsi="Arial" w:cs="Arial"/>
                <w:lang w:val="en-GB"/>
              </w:rPr>
              <w:t xml:space="preserve"> papillary thyroid carcinoma [PTC], follicular carcinoma, medullary thyroid carcinoma, anaplastic thyroid carcinoma, lymphoma, metastasis).</w:t>
            </w:r>
          </w:p>
          <w:p w14:paraId="6C30715E" w14:textId="77777777" w:rsidR="000E3517" w:rsidRPr="003A69C2" w:rsidRDefault="008C4C90" w:rsidP="003A69C2">
            <w:pPr>
              <w:pStyle w:val="Body"/>
              <w:spacing w:before="60" w:after="60"/>
              <w:ind w:left="425"/>
              <w:jc w:val="left"/>
              <w:rPr>
                <w:rFonts w:ascii="Arial" w:eastAsia="Arial" w:hAnsi="Arial" w:cs="Arial"/>
              </w:rPr>
            </w:pPr>
            <w:r w:rsidRPr="003A69C2">
              <w:rPr>
                <w:rFonts w:ascii="Arial" w:hAnsi="Arial" w:cs="Arial"/>
                <w:b/>
                <w:bCs/>
              </w:rPr>
              <w:t xml:space="preserve">NB: </w:t>
            </w:r>
            <w:r w:rsidRPr="003A69C2">
              <w:rPr>
                <w:rFonts w:ascii="Arial" w:hAnsi="Arial" w:cs="Arial"/>
              </w:rPr>
              <w:t>NIFTP is a histological diagnosis only.</w:t>
            </w:r>
            <w:r w:rsidRPr="003A69C2">
              <w:rPr>
                <w:rFonts w:ascii="Arial" w:hAnsi="Arial" w:cs="Arial"/>
                <w:vertAlign w:val="superscript"/>
              </w:rPr>
              <w:t>4</w:t>
            </w:r>
            <w:r w:rsidRPr="003A69C2">
              <w:rPr>
                <w:rFonts w:ascii="Arial" w:hAnsi="Arial" w:cs="Arial"/>
              </w:rPr>
              <w:t xml:space="preserve"> It is a borderline neoplasm, with a very low risk of malignant behaviour. Rates of diagnosis of NIFTP </w:t>
            </w:r>
            <w:r w:rsidRPr="003A69C2">
              <w:rPr>
                <w:rFonts w:ascii="Arial" w:hAnsi="Arial" w:cs="Arial"/>
              </w:rPr>
              <w:lastRenderedPageBreak/>
              <w:t>vary worldwide. NIFTPs can produce cytology within any of the categories, especially the indeterminate ones of Thy3a, Thy3f and Thy4, but can rarely yield Thy5 cytology. There will be many factors influencing the cytology/histology correlation in any individual institution, including the thresholds for PTC/NIFTP nuclei of the pathologists reporting the histology. Pragmatically, the cytology audit data could be collected by considering NIFTP as either a very low risk malignant lesion or by considering NIFTP as non-malignant (in the neoplasm, benign category). For the sake of comparison with earlier audits it may be more appropriate to include cytology with NIFTP histology in the malignant histological category.</w:t>
            </w:r>
          </w:p>
          <w:p w14:paraId="6C30715F" w14:textId="77777777" w:rsidR="000E3517" w:rsidRPr="003A69C2" w:rsidRDefault="008C4C90" w:rsidP="003A69C2">
            <w:pPr>
              <w:pStyle w:val="ListParagraph"/>
              <w:spacing w:before="60" w:after="60"/>
              <w:ind w:left="425"/>
              <w:jc w:val="left"/>
              <w:rPr>
                <w:rFonts w:ascii="Arial" w:eastAsia="Arial" w:hAnsi="Arial" w:cs="Arial"/>
                <w:lang w:val="en-GB"/>
              </w:rPr>
            </w:pPr>
            <w:r w:rsidRPr="003A69C2">
              <w:rPr>
                <w:rFonts w:ascii="Arial" w:hAnsi="Arial" w:cs="Arial"/>
                <w:lang w:val="en-GB"/>
              </w:rPr>
              <w:t>Ensure that the histology category relates to the lesion(s) targeted by the cytology sampling; for example, a case with an incidentally found micropapillary carcinoma that is separate from the targeted lesion should not be included as malignant but as the histology of the lesion targeted by FNA.</w:t>
            </w:r>
          </w:p>
          <w:p w14:paraId="6C307160" w14:textId="7DCA4D8D" w:rsidR="000E3517" w:rsidRPr="003A69C2" w:rsidRDefault="008C4C90" w:rsidP="003A69C2">
            <w:pPr>
              <w:pStyle w:val="ListParagraph"/>
              <w:spacing w:before="60" w:after="60"/>
              <w:ind w:left="425"/>
              <w:jc w:val="left"/>
              <w:rPr>
                <w:rFonts w:ascii="Arial" w:eastAsia="Arial" w:hAnsi="Arial" w:cs="Arial"/>
                <w:lang w:val="en-GB"/>
              </w:rPr>
            </w:pPr>
            <w:r w:rsidRPr="003A69C2">
              <w:rPr>
                <w:rFonts w:ascii="Arial" w:hAnsi="Arial" w:cs="Arial"/>
                <w:lang w:val="en-GB"/>
              </w:rPr>
              <w:t>Calculate for each Thy category the accuracy and PPV for predicting histology of the following for specimens rather than patients:</w:t>
            </w:r>
          </w:p>
          <w:p w14:paraId="6C307161" w14:textId="77777777" w:rsidR="000E3517" w:rsidRPr="003A69C2" w:rsidRDefault="008C4C90" w:rsidP="003A69C2">
            <w:pPr>
              <w:pStyle w:val="ListParagraph"/>
              <w:numPr>
                <w:ilvl w:val="0"/>
                <w:numId w:val="6"/>
              </w:numPr>
              <w:spacing w:before="60" w:after="60"/>
              <w:ind w:left="850" w:hanging="425"/>
              <w:rPr>
                <w:rFonts w:ascii="Arial" w:hAnsi="Arial" w:cs="Arial"/>
                <w:lang w:val="en-GB"/>
              </w:rPr>
            </w:pPr>
            <w:r w:rsidRPr="003A69C2">
              <w:rPr>
                <w:rFonts w:ascii="Arial" w:hAnsi="Arial" w:cs="Arial"/>
                <w:lang w:val="en-GB"/>
              </w:rPr>
              <w:t>neoplasia (benign and malignant combined, including NIFTP)</w:t>
            </w:r>
          </w:p>
          <w:p w14:paraId="6C307162" w14:textId="77777777" w:rsidR="000E3517" w:rsidRPr="003A69C2" w:rsidRDefault="008C4C90" w:rsidP="003A69C2">
            <w:pPr>
              <w:pStyle w:val="ListParagraph"/>
              <w:numPr>
                <w:ilvl w:val="0"/>
                <w:numId w:val="6"/>
              </w:numPr>
              <w:spacing w:before="60" w:after="60"/>
              <w:ind w:left="850" w:hanging="425"/>
              <w:rPr>
                <w:rFonts w:ascii="Arial" w:hAnsi="Arial" w:cs="Arial"/>
                <w:lang w:val="en-GB"/>
              </w:rPr>
            </w:pPr>
            <w:r w:rsidRPr="003A69C2">
              <w:rPr>
                <w:rFonts w:ascii="Arial" w:hAnsi="Arial" w:cs="Arial"/>
                <w:lang w:val="en-GB"/>
              </w:rPr>
              <w:t>malignancy alone (counting cases of NIFTP as malignant)</w:t>
            </w:r>
          </w:p>
          <w:p w14:paraId="6C307163" w14:textId="77777777" w:rsidR="000E3517" w:rsidRPr="003A69C2" w:rsidRDefault="008C4C90" w:rsidP="003A69C2">
            <w:pPr>
              <w:pStyle w:val="ListParagraph"/>
              <w:numPr>
                <w:ilvl w:val="0"/>
                <w:numId w:val="6"/>
              </w:numPr>
              <w:spacing w:before="60" w:after="60"/>
              <w:ind w:left="850" w:hanging="425"/>
              <w:rPr>
                <w:rFonts w:ascii="Arial" w:hAnsi="Arial" w:cs="Arial"/>
                <w:lang w:val="en-GB"/>
              </w:rPr>
            </w:pPr>
            <w:r w:rsidRPr="003A69C2">
              <w:rPr>
                <w:rFonts w:ascii="Arial" w:hAnsi="Arial" w:cs="Arial"/>
                <w:lang w:val="en-GB"/>
              </w:rPr>
              <w:t>malignancy alone (counting cases of NIFTP as not malignant)</w:t>
            </w:r>
          </w:p>
          <w:p w14:paraId="6C307164" w14:textId="77777777" w:rsidR="000E3517" w:rsidRPr="003A69C2" w:rsidRDefault="008C4C90" w:rsidP="003A69C2">
            <w:pPr>
              <w:pStyle w:val="ListParagraph"/>
              <w:spacing w:before="60" w:after="60"/>
              <w:ind w:left="425"/>
              <w:jc w:val="left"/>
              <w:rPr>
                <w:rFonts w:ascii="Arial" w:eastAsia="Arial" w:hAnsi="Arial" w:cs="Arial"/>
                <w:lang w:val="en-GB"/>
              </w:rPr>
            </w:pPr>
            <w:r w:rsidRPr="003A69C2">
              <w:rPr>
                <w:rFonts w:ascii="Arial" w:hAnsi="Arial" w:cs="Arial"/>
                <w:lang w:val="en-GB"/>
              </w:rPr>
              <w:t xml:space="preserve">Review false-positive and false-negative cases to assess causes of diagnostic discrepancy, </w:t>
            </w:r>
            <w:proofErr w:type="gramStart"/>
            <w:r w:rsidRPr="003A69C2">
              <w:rPr>
                <w:rFonts w:ascii="Arial" w:hAnsi="Arial" w:cs="Arial"/>
                <w:lang w:val="en-GB"/>
              </w:rPr>
              <w:t>e.g.</w:t>
            </w:r>
            <w:proofErr w:type="gramEnd"/>
            <w:r w:rsidRPr="003A69C2">
              <w:rPr>
                <w:rFonts w:ascii="Arial" w:hAnsi="Arial" w:cs="Arial"/>
                <w:lang w:val="en-GB"/>
              </w:rPr>
              <w:t xml:space="preserve"> sampling quality, interpretation error. Note, these cases are ideal for educational purposes.</w:t>
            </w:r>
          </w:p>
          <w:p w14:paraId="6C307167" w14:textId="1CF3852B" w:rsidR="000E3517" w:rsidRPr="003A69C2" w:rsidRDefault="004B7430" w:rsidP="003A69C2">
            <w:pPr>
              <w:spacing w:before="60" w:after="60"/>
              <w:ind w:left="409" w:hanging="409"/>
              <w:rPr>
                <w:rFonts w:ascii="Arial" w:hAnsi="Arial" w:cs="Arial"/>
                <w:sz w:val="22"/>
                <w:szCs w:val="22"/>
                <w:lang w:val="en-GB"/>
              </w:rPr>
            </w:pPr>
            <w:r w:rsidRPr="003A69C2">
              <w:rPr>
                <w:rFonts w:ascii="Arial" w:hAnsi="Arial" w:cs="Arial"/>
                <w:sz w:val="22"/>
                <w:szCs w:val="22"/>
                <w:lang w:val="en-GB"/>
              </w:rPr>
              <w:t>4</w:t>
            </w:r>
            <w:r w:rsidR="003A69C2" w:rsidRPr="003A69C2">
              <w:rPr>
                <w:rFonts w:ascii="Arial" w:hAnsi="Arial" w:cs="Arial"/>
                <w:sz w:val="22"/>
                <w:szCs w:val="22"/>
                <w:lang w:val="en-GB"/>
              </w:rPr>
              <w:t>–</w:t>
            </w:r>
            <w:r w:rsidRPr="003A69C2">
              <w:rPr>
                <w:rFonts w:ascii="Arial" w:hAnsi="Arial" w:cs="Arial"/>
                <w:sz w:val="22"/>
                <w:szCs w:val="22"/>
                <w:lang w:val="en-GB"/>
              </w:rPr>
              <w:t xml:space="preserve">5. </w:t>
            </w:r>
            <w:r w:rsidR="008C4C90" w:rsidRPr="003A69C2">
              <w:rPr>
                <w:rFonts w:ascii="Arial" w:hAnsi="Arial" w:cs="Arial"/>
                <w:sz w:val="22"/>
                <w:szCs w:val="22"/>
                <w:lang w:val="en-GB"/>
              </w:rPr>
              <w:t>Determine from thyroid cancer MDTM records whether Thy4 and Thy5 cases have undergone discussion at the MDTM. This could be extended to Thy3 cases if locally preferred.</w:t>
            </w:r>
          </w:p>
        </w:tc>
      </w:tr>
      <w:tr w:rsidR="000E3517" w:rsidRPr="003A69C2" w14:paraId="6C307174"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69"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lastRenderedPageBreak/>
              <w:t>Results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6A" w14:textId="77777777" w:rsidR="000E3517" w:rsidRPr="003A69C2" w:rsidRDefault="008C4C90" w:rsidP="003A69C2">
            <w:pPr>
              <w:pStyle w:val="Body"/>
              <w:spacing w:before="60" w:after="60"/>
              <w:ind w:left="0"/>
              <w:rPr>
                <w:rFonts w:ascii="Arial" w:eastAsia="Arial" w:hAnsi="Arial" w:cs="Arial"/>
                <w:color w:val="FF0000"/>
                <w:u w:color="FF0000"/>
              </w:rPr>
            </w:pPr>
            <w:r w:rsidRPr="003A69C2">
              <w:rPr>
                <w:rFonts w:ascii="Arial" w:hAnsi="Arial" w:cs="Arial"/>
                <w:color w:val="FF0000"/>
                <w:u w:color="FF0000"/>
              </w:rPr>
              <w:t>(To be completed by the author)</w:t>
            </w:r>
          </w:p>
          <w:p w14:paraId="6C30716B" w14:textId="77777777" w:rsidR="000E3517" w:rsidRPr="003A69C2" w:rsidRDefault="008C4C90" w:rsidP="003A69C2">
            <w:pPr>
              <w:pStyle w:val="Body"/>
              <w:spacing w:before="60" w:after="120"/>
              <w:ind w:left="0"/>
              <w:rPr>
                <w:rFonts w:ascii="Arial" w:eastAsia="Arial" w:hAnsi="Arial" w:cs="Arial"/>
              </w:rPr>
            </w:pPr>
            <w:r w:rsidRPr="003A69C2">
              <w:rPr>
                <w:rFonts w:ascii="Arial" w:hAnsi="Arial" w:cs="Arial"/>
              </w:rPr>
              <w:t>The results of this audit show the following compliance with the standards:</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1"/>
              <w:gridCol w:w="2885"/>
            </w:tblGrid>
            <w:tr w:rsidR="005E204E" w:rsidRPr="003A69C2" w14:paraId="50D59D42" w14:textId="77777777" w:rsidTr="00D400A3">
              <w:tc>
                <w:tcPr>
                  <w:tcW w:w="4231" w:type="dxa"/>
                  <w:tcBorders>
                    <w:top w:val="single" w:sz="4" w:space="0" w:color="auto"/>
                    <w:left w:val="single" w:sz="4" w:space="0" w:color="auto"/>
                    <w:bottom w:val="single" w:sz="4" w:space="0" w:color="auto"/>
                    <w:right w:val="single" w:sz="4" w:space="0" w:color="auto"/>
                  </w:tcBorders>
                </w:tcPr>
                <w:p w14:paraId="4F2A4E11" w14:textId="77777777" w:rsidR="005E204E" w:rsidRPr="003A69C2" w:rsidRDefault="005E204E" w:rsidP="003A69C2">
                  <w:pPr>
                    <w:spacing w:before="60" w:after="60"/>
                    <w:rPr>
                      <w:rFonts w:ascii="Arial" w:hAnsi="Arial" w:cs="Arial"/>
                      <w:b/>
                      <w:sz w:val="22"/>
                      <w:szCs w:val="22"/>
                      <w:lang w:val="en-GB"/>
                    </w:rPr>
                  </w:pPr>
                  <w:r w:rsidRPr="003A69C2">
                    <w:rPr>
                      <w:rFonts w:ascii="Arial" w:hAnsi="Arial" w:cs="Arial"/>
                      <w:b/>
                      <w:sz w:val="22"/>
                      <w:szCs w:val="22"/>
                      <w:lang w:val="en-GB"/>
                    </w:rPr>
                    <w:t>Agreed standards</w:t>
                  </w:r>
                </w:p>
              </w:tc>
              <w:tc>
                <w:tcPr>
                  <w:tcW w:w="2885" w:type="dxa"/>
                  <w:tcBorders>
                    <w:top w:val="single" w:sz="4" w:space="0" w:color="auto"/>
                    <w:left w:val="single" w:sz="4" w:space="0" w:color="auto"/>
                    <w:bottom w:val="single" w:sz="4" w:space="0" w:color="auto"/>
                    <w:right w:val="single" w:sz="4" w:space="0" w:color="auto"/>
                  </w:tcBorders>
                </w:tcPr>
                <w:p w14:paraId="2501CB01" w14:textId="77777777" w:rsidR="005E204E" w:rsidRPr="003A69C2" w:rsidRDefault="005E204E" w:rsidP="003A69C2">
                  <w:pPr>
                    <w:spacing w:before="60" w:after="60"/>
                    <w:rPr>
                      <w:rFonts w:ascii="Arial" w:hAnsi="Arial" w:cs="Arial"/>
                      <w:b/>
                      <w:sz w:val="22"/>
                      <w:szCs w:val="22"/>
                      <w:lang w:val="en-GB"/>
                    </w:rPr>
                  </w:pPr>
                  <w:r w:rsidRPr="003A69C2">
                    <w:rPr>
                      <w:rFonts w:ascii="Arial" w:hAnsi="Arial" w:cs="Arial"/>
                      <w:b/>
                      <w:sz w:val="22"/>
                      <w:szCs w:val="22"/>
                      <w:lang w:val="en-GB"/>
                    </w:rPr>
                    <w:t xml:space="preserve">% </w:t>
                  </w:r>
                  <w:proofErr w:type="gramStart"/>
                  <w:r w:rsidRPr="003A69C2">
                    <w:rPr>
                      <w:rFonts w:ascii="Arial" w:hAnsi="Arial" w:cs="Arial"/>
                      <w:b/>
                      <w:sz w:val="22"/>
                      <w:szCs w:val="22"/>
                      <w:lang w:val="en-GB"/>
                    </w:rPr>
                    <w:t>compliance</w:t>
                  </w:r>
                  <w:proofErr w:type="gramEnd"/>
                </w:p>
              </w:tc>
            </w:tr>
            <w:tr w:rsidR="005E204E" w:rsidRPr="003A69C2" w14:paraId="198CABC4" w14:textId="77777777" w:rsidTr="00D400A3">
              <w:tc>
                <w:tcPr>
                  <w:tcW w:w="4231" w:type="dxa"/>
                  <w:tcBorders>
                    <w:top w:val="single" w:sz="4" w:space="0" w:color="auto"/>
                    <w:left w:val="single" w:sz="4" w:space="0" w:color="auto"/>
                    <w:bottom w:val="single" w:sz="4" w:space="0" w:color="auto"/>
                    <w:right w:val="single" w:sz="4" w:space="0" w:color="auto"/>
                  </w:tcBorders>
                </w:tcPr>
                <w:p w14:paraId="2DFEDA26" w14:textId="1A9CA7F7" w:rsidR="005E204E" w:rsidRPr="003A69C2" w:rsidRDefault="005E204E" w:rsidP="003A69C2">
                  <w:pPr>
                    <w:spacing w:before="60" w:after="60"/>
                    <w:rPr>
                      <w:rFonts w:ascii="Arial" w:hAnsi="Arial" w:cs="Arial"/>
                      <w:sz w:val="22"/>
                      <w:szCs w:val="22"/>
                      <w:lang w:val="en-GB"/>
                    </w:rPr>
                  </w:pPr>
                  <w:r w:rsidRPr="003A69C2">
                    <w:rPr>
                      <w:rFonts w:ascii="Arial" w:hAnsi="Arial" w:cs="Arial"/>
                      <w:sz w:val="22"/>
                      <w:szCs w:val="22"/>
                      <w:lang w:val="en-GB"/>
                    </w:rPr>
                    <w:t>100% thyroid cytology reports include a Thy category as well as a prose explanation of the findings</w:t>
                  </w:r>
                </w:p>
              </w:tc>
              <w:tc>
                <w:tcPr>
                  <w:tcW w:w="2885" w:type="dxa"/>
                  <w:tcBorders>
                    <w:top w:val="single" w:sz="4" w:space="0" w:color="auto"/>
                    <w:left w:val="single" w:sz="4" w:space="0" w:color="auto"/>
                    <w:bottom w:val="single" w:sz="4" w:space="0" w:color="auto"/>
                    <w:right w:val="single" w:sz="4" w:space="0" w:color="auto"/>
                  </w:tcBorders>
                </w:tcPr>
                <w:p w14:paraId="2503B03C" w14:textId="77777777" w:rsidR="005E204E" w:rsidRPr="003A69C2" w:rsidRDefault="005E204E" w:rsidP="003A69C2">
                  <w:pPr>
                    <w:spacing w:before="60" w:after="60"/>
                    <w:rPr>
                      <w:rFonts w:ascii="Arial" w:hAnsi="Arial" w:cs="Arial"/>
                      <w:sz w:val="22"/>
                      <w:szCs w:val="22"/>
                      <w:lang w:val="en-GB"/>
                    </w:rPr>
                  </w:pPr>
                </w:p>
              </w:tc>
            </w:tr>
            <w:tr w:rsidR="005E204E" w:rsidRPr="003A69C2" w14:paraId="3658EE5B" w14:textId="77777777" w:rsidTr="00D400A3">
              <w:tc>
                <w:tcPr>
                  <w:tcW w:w="4231" w:type="dxa"/>
                  <w:tcBorders>
                    <w:top w:val="single" w:sz="4" w:space="0" w:color="auto"/>
                    <w:left w:val="single" w:sz="4" w:space="0" w:color="auto"/>
                    <w:bottom w:val="single" w:sz="4" w:space="0" w:color="auto"/>
                    <w:right w:val="single" w:sz="4" w:space="0" w:color="auto"/>
                  </w:tcBorders>
                </w:tcPr>
                <w:p w14:paraId="44A639FF" w14:textId="01BB06E3" w:rsidR="005E204E" w:rsidRPr="003A69C2" w:rsidRDefault="005E204E" w:rsidP="003A69C2">
                  <w:pPr>
                    <w:spacing w:before="60" w:after="60"/>
                    <w:rPr>
                      <w:rFonts w:ascii="Arial" w:hAnsi="Arial" w:cs="Arial"/>
                      <w:sz w:val="22"/>
                      <w:szCs w:val="22"/>
                      <w:lang w:val="en-GB"/>
                    </w:rPr>
                  </w:pPr>
                  <w:r w:rsidRPr="003A69C2">
                    <w:rPr>
                      <w:rFonts w:ascii="Arial" w:hAnsi="Arial" w:cs="Arial"/>
                      <w:sz w:val="22"/>
                      <w:szCs w:val="22"/>
                      <w:lang w:val="en-GB"/>
                    </w:rPr>
                    <w:t>The percentage of all thyroid cytology cases that fall into each Thy category is appropriate (as per national data)</w:t>
                  </w:r>
                </w:p>
              </w:tc>
              <w:tc>
                <w:tcPr>
                  <w:tcW w:w="2885" w:type="dxa"/>
                  <w:tcBorders>
                    <w:top w:val="single" w:sz="4" w:space="0" w:color="auto"/>
                    <w:left w:val="single" w:sz="4" w:space="0" w:color="auto"/>
                    <w:bottom w:val="single" w:sz="4" w:space="0" w:color="auto"/>
                    <w:right w:val="single" w:sz="4" w:space="0" w:color="auto"/>
                  </w:tcBorders>
                </w:tcPr>
                <w:p w14:paraId="380BC387" w14:textId="77777777" w:rsidR="005E204E" w:rsidRPr="003A69C2" w:rsidRDefault="005E204E" w:rsidP="003A69C2">
                  <w:pPr>
                    <w:spacing w:before="60" w:after="60"/>
                    <w:rPr>
                      <w:rFonts w:ascii="Arial" w:hAnsi="Arial" w:cs="Arial"/>
                      <w:sz w:val="22"/>
                      <w:szCs w:val="22"/>
                      <w:lang w:val="en-GB"/>
                    </w:rPr>
                  </w:pPr>
                </w:p>
              </w:tc>
            </w:tr>
            <w:tr w:rsidR="005E204E" w:rsidRPr="003A69C2" w14:paraId="4E4EBDB4" w14:textId="77777777" w:rsidTr="00D400A3">
              <w:tc>
                <w:tcPr>
                  <w:tcW w:w="4231" w:type="dxa"/>
                  <w:tcBorders>
                    <w:top w:val="single" w:sz="4" w:space="0" w:color="auto"/>
                    <w:left w:val="single" w:sz="4" w:space="0" w:color="auto"/>
                    <w:bottom w:val="single" w:sz="4" w:space="0" w:color="auto"/>
                    <w:right w:val="single" w:sz="4" w:space="0" w:color="auto"/>
                  </w:tcBorders>
                </w:tcPr>
                <w:p w14:paraId="0CBCEA82" w14:textId="77777777" w:rsidR="005E204E" w:rsidRPr="003A69C2" w:rsidRDefault="005E204E" w:rsidP="003A69C2">
                  <w:pPr>
                    <w:keepNext/>
                    <w:spacing w:before="60" w:after="60"/>
                    <w:outlineLvl w:val="2"/>
                    <w:rPr>
                      <w:rFonts w:ascii="Arial" w:hAnsi="Arial" w:cs="Arial"/>
                      <w:sz w:val="22"/>
                      <w:szCs w:val="22"/>
                      <w:lang w:val="en-GB"/>
                    </w:rPr>
                  </w:pPr>
                  <w:r w:rsidRPr="003A69C2">
                    <w:rPr>
                      <w:rFonts w:ascii="Arial" w:hAnsi="Arial" w:cs="Arial"/>
                      <w:sz w:val="22"/>
                      <w:szCs w:val="22"/>
                      <w:lang w:val="en-GB"/>
                    </w:rPr>
                    <w:t>PPV for malignancy for Thy5 is 97–99%</w:t>
                  </w:r>
                </w:p>
              </w:tc>
              <w:tc>
                <w:tcPr>
                  <w:tcW w:w="2885" w:type="dxa"/>
                  <w:tcBorders>
                    <w:top w:val="single" w:sz="4" w:space="0" w:color="auto"/>
                    <w:left w:val="single" w:sz="4" w:space="0" w:color="auto"/>
                    <w:bottom w:val="single" w:sz="4" w:space="0" w:color="auto"/>
                    <w:right w:val="single" w:sz="4" w:space="0" w:color="auto"/>
                  </w:tcBorders>
                </w:tcPr>
                <w:p w14:paraId="467D41B6" w14:textId="77777777" w:rsidR="005E204E" w:rsidRPr="003A69C2" w:rsidRDefault="005E204E" w:rsidP="003A69C2">
                  <w:pPr>
                    <w:spacing w:before="60" w:after="60"/>
                    <w:rPr>
                      <w:rFonts w:ascii="Arial" w:hAnsi="Arial" w:cs="Arial"/>
                      <w:sz w:val="22"/>
                      <w:szCs w:val="22"/>
                      <w:lang w:val="en-GB"/>
                    </w:rPr>
                  </w:pPr>
                </w:p>
              </w:tc>
            </w:tr>
            <w:tr w:rsidR="005E204E" w:rsidRPr="003A69C2" w14:paraId="3C40766A" w14:textId="77777777" w:rsidTr="00D400A3">
              <w:tc>
                <w:tcPr>
                  <w:tcW w:w="4231" w:type="dxa"/>
                  <w:tcBorders>
                    <w:top w:val="single" w:sz="4" w:space="0" w:color="auto"/>
                    <w:left w:val="single" w:sz="4" w:space="0" w:color="auto"/>
                    <w:bottom w:val="single" w:sz="4" w:space="0" w:color="auto"/>
                    <w:right w:val="single" w:sz="4" w:space="0" w:color="auto"/>
                  </w:tcBorders>
                </w:tcPr>
                <w:p w14:paraId="3DD09362" w14:textId="77777777" w:rsidR="005E204E" w:rsidRPr="003A69C2" w:rsidRDefault="005E204E" w:rsidP="003A69C2">
                  <w:pPr>
                    <w:spacing w:before="60" w:after="60"/>
                    <w:rPr>
                      <w:rFonts w:ascii="Arial" w:hAnsi="Arial" w:cs="Arial"/>
                      <w:sz w:val="22"/>
                      <w:szCs w:val="22"/>
                      <w:lang w:val="en-GB"/>
                    </w:rPr>
                  </w:pPr>
                  <w:r w:rsidRPr="003A69C2">
                    <w:rPr>
                      <w:rFonts w:ascii="Arial" w:hAnsi="Arial" w:cs="Arial"/>
                      <w:sz w:val="22"/>
                      <w:szCs w:val="22"/>
                      <w:lang w:val="en-GB"/>
                    </w:rPr>
                    <w:t>100% of Thy4/5 cases undergo discussion at thyroid cancer MDTMs</w:t>
                  </w:r>
                </w:p>
              </w:tc>
              <w:tc>
                <w:tcPr>
                  <w:tcW w:w="2885" w:type="dxa"/>
                  <w:tcBorders>
                    <w:top w:val="single" w:sz="4" w:space="0" w:color="auto"/>
                    <w:left w:val="single" w:sz="4" w:space="0" w:color="auto"/>
                    <w:bottom w:val="single" w:sz="4" w:space="0" w:color="auto"/>
                    <w:right w:val="single" w:sz="4" w:space="0" w:color="auto"/>
                  </w:tcBorders>
                </w:tcPr>
                <w:p w14:paraId="05B2ED26" w14:textId="77777777" w:rsidR="005E204E" w:rsidRPr="003A69C2" w:rsidRDefault="005E204E" w:rsidP="003A69C2">
                  <w:pPr>
                    <w:spacing w:before="60" w:after="60"/>
                    <w:rPr>
                      <w:rFonts w:ascii="Arial" w:hAnsi="Arial" w:cs="Arial"/>
                      <w:sz w:val="22"/>
                      <w:szCs w:val="22"/>
                      <w:lang w:val="en-GB"/>
                    </w:rPr>
                  </w:pPr>
                </w:p>
              </w:tc>
            </w:tr>
            <w:tr w:rsidR="005E204E" w:rsidRPr="003A69C2" w14:paraId="01230DB8" w14:textId="77777777" w:rsidTr="00D400A3">
              <w:tc>
                <w:tcPr>
                  <w:tcW w:w="4231" w:type="dxa"/>
                  <w:tcBorders>
                    <w:top w:val="single" w:sz="4" w:space="0" w:color="auto"/>
                    <w:left w:val="single" w:sz="4" w:space="0" w:color="auto"/>
                    <w:bottom w:val="single" w:sz="4" w:space="0" w:color="auto"/>
                    <w:right w:val="single" w:sz="4" w:space="0" w:color="auto"/>
                  </w:tcBorders>
                </w:tcPr>
                <w:p w14:paraId="100B8F69" w14:textId="77777777" w:rsidR="005E204E" w:rsidRPr="003A69C2" w:rsidRDefault="005E204E" w:rsidP="003A69C2">
                  <w:pPr>
                    <w:spacing w:before="60" w:after="60"/>
                    <w:rPr>
                      <w:rFonts w:ascii="Arial" w:hAnsi="Arial" w:cs="Arial"/>
                      <w:sz w:val="22"/>
                      <w:szCs w:val="22"/>
                      <w:lang w:val="en-GB"/>
                    </w:rPr>
                  </w:pPr>
                  <w:r w:rsidRPr="003A69C2">
                    <w:rPr>
                      <w:rFonts w:ascii="Arial" w:hAnsi="Arial" w:cs="Arial"/>
                      <w:sz w:val="22"/>
                      <w:szCs w:val="22"/>
                      <w:lang w:val="en-GB"/>
                    </w:rPr>
                    <w:t>The number of Thy3 (Thy3a and/or Thy3f) cases that undergo discussion at thyroid cancer MDTMs is appropriate (as per local preferences)</w:t>
                  </w:r>
                </w:p>
              </w:tc>
              <w:tc>
                <w:tcPr>
                  <w:tcW w:w="2885" w:type="dxa"/>
                  <w:tcBorders>
                    <w:top w:val="single" w:sz="4" w:space="0" w:color="auto"/>
                    <w:left w:val="single" w:sz="4" w:space="0" w:color="auto"/>
                    <w:bottom w:val="single" w:sz="4" w:space="0" w:color="auto"/>
                    <w:right w:val="single" w:sz="4" w:space="0" w:color="auto"/>
                  </w:tcBorders>
                </w:tcPr>
                <w:p w14:paraId="26896CE3" w14:textId="77777777" w:rsidR="005E204E" w:rsidRPr="003A69C2" w:rsidRDefault="005E204E" w:rsidP="003A69C2">
                  <w:pPr>
                    <w:spacing w:before="60" w:after="60"/>
                    <w:rPr>
                      <w:rFonts w:ascii="Arial" w:hAnsi="Arial" w:cs="Arial"/>
                      <w:sz w:val="22"/>
                      <w:szCs w:val="22"/>
                      <w:lang w:val="en-GB"/>
                    </w:rPr>
                  </w:pPr>
                </w:p>
              </w:tc>
            </w:tr>
          </w:tbl>
          <w:p w14:paraId="6C307172" w14:textId="77777777" w:rsidR="000E3517" w:rsidRPr="003A69C2" w:rsidRDefault="008C4C90" w:rsidP="003A69C2">
            <w:pPr>
              <w:pStyle w:val="Body"/>
              <w:spacing w:before="60" w:after="60"/>
              <w:ind w:left="0"/>
              <w:jc w:val="left"/>
              <w:rPr>
                <w:rFonts w:ascii="Arial" w:eastAsia="Arial" w:hAnsi="Arial" w:cs="Arial"/>
                <w:b/>
                <w:bCs/>
              </w:rPr>
            </w:pPr>
            <w:r w:rsidRPr="003A69C2">
              <w:rPr>
                <w:rFonts w:ascii="Arial" w:hAnsi="Arial" w:cs="Arial"/>
                <w:b/>
                <w:bCs/>
              </w:rPr>
              <w:t>Commentary:</w:t>
            </w:r>
          </w:p>
          <w:p w14:paraId="12FFF1CA" w14:textId="77777777" w:rsidR="000E3517" w:rsidRPr="003A69C2" w:rsidRDefault="000E3517" w:rsidP="003A69C2">
            <w:pPr>
              <w:pStyle w:val="Body"/>
              <w:spacing w:before="60" w:after="60"/>
              <w:ind w:left="0"/>
              <w:jc w:val="left"/>
              <w:rPr>
                <w:rFonts w:ascii="Arial" w:hAnsi="Arial" w:cs="Arial"/>
              </w:rPr>
            </w:pPr>
          </w:p>
          <w:p w14:paraId="6C307173" w14:textId="07062D2E" w:rsidR="0070454E" w:rsidRPr="003A69C2" w:rsidRDefault="0070454E" w:rsidP="003A69C2">
            <w:pPr>
              <w:pStyle w:val="Body"/>
              <w:spacing w:before="60" w:after="60"/>
              <w:ind w:left="0"/>
              <w:jc w:val="left"/>
              <w:rPr>
                <w:rFonts w:ascii="Arial" w:hAnsi="Arial" w:cs="Arial"/>
              </w:rPr>
            </w:pPr>
          </w:p>
        </w:tc>
      </w:tr>
      <w:tr w:rsidR="000E3517" w:rsidRPr="003A69C2" w14:paraId="6C307178"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75"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Conclusion</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76" w14:textId="77777777" w:rsidR="000E3517" w:rsidRPr="003A69C2" w:rsidRDefault="008C4C90" w:rsidP="003A69C2">
            <w:pPr>
              <w:pStyle w:val="Body"/>
              <w:spacing w:before="60" w:after="60"/>
              <w:ind w:left="0"/>
              <w:jc w:val="left"/>
              <w:rPr>
                <w:rFonts w:ascii="Arial" w:eastAsia="Arial" w:hAnsi="Arial" w:cs="Arial"/>
                <w:color w:val="FF0000"/>
                <w:u w:color="FF0000"/>
              </w:rPr>
            </w:pPr>
            <w:r w:rsidRPr="003A69C2">
              <w:rPr>
                <w:rFonts w:ascii="Arial" w:hAnsi="Arial" w:cs="Arial"/>
                <w:color w:val="FF0000"/>
                <w:u w:color="FF0000"/>
              </w:rPr>
              <w:t>(To be completed by the author)</w:t>
            </w:r>
          </w:p>
          <w:p w14:paraId="6C307177" w14:textId="77777777" w:rsidR="000E3517" w:rsidRPr="003A69C2" w:rsidRDefault="000E3517" w:rsidP="003A69C2">
            <w:pPr>
              <w:pStyle w:val="Body"/>
              <w:spacing w:before="60" w:after="60"/>
              <w:ind w:left="0"/>
              <w:jc w:val="left"/>
              <w:rPr>
                <w:rFonts w:ascii="Arial" w:hAnsi="Arial" w:cs="Arial"/>
              </w:rPr>
            </w:pPr>
          </w:p>
        </w:tc>
      </w:tr>
      <w:tr w:rsidR="000E3517" w:rsidRPr="003A69C2" w14:paraId="6C307181"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79" w14:textId="77777777" w:rsidR="000E3517" w:rsidRPr="003A69C2" w:rsidRDefault="008C4C90" w:rsidP="003A69C2">
            <w:pPr>
              <w:pStyle w:val="Body"/>
              <w:spacing w:before="60" w:after="60"/>
              <w:ind w:left="0"/>
              <w:jc w:val="left"/>
              <w:rPr>
                <w:rFonts w:ascii="Arial" w:eastAsia="Arial" w:hAnsi="Arial" w:cs="Arial"/>
                <w:b/>
                <w:bCs/>
              </w:rPr>
            </w:pPr>
            <w:r w:rsidRPr="003A69C2">
              <w:rPr>
                <w:rFonts w:ascii="Arial" w:hAnsi="Arial" w:cs="Arial"/>
                <w:b/>
                <w:bCs/>
              </w:rPr>
              <w:lastRenderedPageBreak/>
              <w:t>Recommendations for improvement</w:t>
            </w:r>
          </w:p>
          <w:p w14:paraId="6C30717A" w14:textId="77777777" w:rsidR="000E3517" w:rsidRPr="003A69C2" w:rsidRDefault="000E3517" w:rsidP="003A69C2">
            <w:pPr>
              <w:pStyle w:val="Body"/>
              <w:spacing w:before="60" w:after="60"/>
              <w:ind w:left="0"/>
              <w:jc w:val="left"/>
              <w:rPr>
                <w:rFonts w:ascii="Arial" w:eastAsia="Arial" w:hAnsi="Arial" w:cs="Arial"/>
                <w:b/>
                <w:bCs/>
              </w:rPr>
            </w:pPr>
          </w:p>
          <w:p w14:paraId="6C30717B" w14:textId="77777777" w:rsidR="000E3517" w:rsidRPr="003A69C2" w:rsidRDefault="000E3517" w:rsidP="003A69C2">
            <w:pPr>
              <w:pStyle w:val="Body"/>
              <w:spacing w:before="60" w:after="60"/>
              <w:ind w:left="0"/>
              <w:jc w:val="left"/>
              <w:rPr>
                <w:rFonts w:ascii="Arial" w:hAnsi="Arial" w:cs="Arial"/>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7C" w14:textId="77777777" w:rsidR="000E3517" w:rsidRPr="003A69C2" w:rsidRDefault="008C4C90" w:rsidP="003A69C2">
            <w:pPr>
              <w:pStyle w:val="ListParagraph"/>
              <w:spacing w:before="60" w:after="60"/>
              <w:ind w:left="0"/>
              <w:rPr>
                <w:rFonts w:ascii="Arial" w:eastAsia="Arial" w:hAnsi="Arial" w:cs="Arial"/>
                <w:lang w:val="en-GB"/>
              </w:rPr>
            </w:pPr>
            <w:r w:rsidRPr="003A69C2">
              <w:rPr>
                <w:rFonts w:ascii="Arial" w:hAnsi="Arial" w:cs="Arial"/>
                <w:lang w:val="en-GB"/>
              </w:rPr>
              <w:t>Present the result with recommendations, actions and responsibility for action, and a timescale for implementation. Assign a person(s) responsible to do the work within a time frame.</w:t>
            </w:r>
          </w:p>
          <w:p w14:paraId="6C30717D" w14:textId="77777777" w:rsidR="000E3517" w:rsidRPr="003A69C2" w:rsidRDefault="000E3517" w:rsidP="003A69C2">
            <w:pPr>
              <w:pStyle w:val="ListParagraph"/>
              <w:spacing w:before="60" w:after="60"/>
              <w:ind w:left="0"/>
              <w:rPr>
                <w:rFonts w:ascii="Arial" w:eastAsia="Arial" w:hAnsi="Arial" w:cs="Arial"/>
                <w:lang w:val="en-GB"/>
              </w:rPr>
            </w:pPr>
          </w:p>
          <w:p w14:paraId="6C30717E" w14:textId="77777777" w:rsidR="000E3517" w:rsidRPr="003A69C2" w:rsidRDefault="008C4C90" w:rsidP="003A69C2">
            <w:pPr>
              <w:pStyle w:val="Body"/>
              <w:spacing w:before="60" w:after="60"/>
              <w:ind w:left="0"/>
              <w:rPr>
                <w:rFonts w:ascii="Arial" w:eastAsia="Arial" w:hAnsi="Arial" w:cs="Arial"/>
                <w:b/>
                <w:bCs/>
              </w:rPr>
            </w:pPr>
            <w:r w:rsidRPr="003A69C2">
              <w:rPr>
                <w:rFonts w:ascii="Arial" w:hAnsi="Arial" w:cs="Arial"/>
                <w:b/>
                <w:bCs/>
              </w:rPr>
              <w:t>Some suggestions:</w:t>
            </w:r>
          </w:p>
          <w:p w14:paraId="6C30717F" w14:textId="77777777" w:rsidR="000E3517" w:rsidRPr="003A69C2" w:rsidRDefault="008C4C90" w:rsidP="003A69C2">
            <w:pPr>
              <w:pStyle w:val="Body"/>
              <w:numPr>
                <w:ilvl w:val="0"/>
                <w:numId w:val="8"/>
              </w:numPr>
              <w:spacing w:before="60" w:after="60"/>
              <w:rPr>
                <w:rFonts w:ascii="Arial" w:hAnsi="Arial" w:cs="Arial"/>
              </w:rPr>
            </w:pPr>
            <w:r w:rsidRPr="003A69C2">
              <w:rPr>
                <w:rFonts w:ascii="Arial" w:hAnsi="Arial" w:cs="Arial"/>
              </w:rPr>
              <w:t>highlight areas of practice that are different</w:t>
            </w:r>
          </w:p>
          <w:p w14:paraId="6C307180" w14:textId="77777777" w:rsidR="000E3517" w:rsidRPr="003A69C2" w:rsidRDefault="008C4C90" w:rsidP="003A69C2">
            <w:pPr>
              <w:pStyle w:val="Body"/>
              <w:numPr>
                <w:ilvl w:val="0"/>
                <w:numId w:val="8"/>
              </w:numPr>
              <w:spacing w:before="60" w:after="60"/>
              <w:rPr>
                <w:rFonts w:ascii="Arial" w:hAnsi="Arial" w:cs="Arial"/>
              </w:rPr>
            </w:pPr>
            <w:r w:rsidRPr="003A69C2">
              <w:rPr>
                <w:rFonts w:ascii="Arial" w:hAnsi="Arial" w:cs="Arial"/>
              </w:rPr>
              <w:t>present findings.</w:t>
            </w:r>
          </w:p>
        </w:tc>
      </w:tr>
      <w:tr w:rsidR="000E3517" w:rsidRPr="003A69C2" w14:paraId="6C307184"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82"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b/>
                <w:bCs/>
              </w:rPr>
              <w:t>Action plan</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83" w14:textId="77777777" w:rsidR="000E3517" w:rsidRPr="003A69C2" w:rsidRDefault="008C4C90" w:rsidP="003A69C2">
            <w:pPr>
              <w:pStyle w:val="ListParagraph"/>
              <w:spacing w:before="60" w:after="60"/>
              <w:ind w:left="0"/>
              <w:jc w:val="left"/>
              <w:rPr>
                <w:rFonts w:ascii="Arial" w:hAnsi="Arial" w:cs="Arial"/>
                <w:lang w:val="en-GB"/>
              </w:rPr>
            </w:pPr>
            <w:r w:rsidRPr="003A69C2">
              <w:rPr>
                <w:rFonts w:ascii="Arial" w:hAnsi="Arial" w:cs="Arial"/>
                <w:color w:val="FF0000"/>
                <w:u w:color="FF0000"/>
                <w:lang w:val="en-GB"/>
              </w:rPr>
              <w:t>(To be completed by the author – see attached action plan proforma)</w:t>
            </w:r>
          </w:p>
        </w:tc>
      </w:tr>
      <w:tr w:rsidR="000E3517" w:rsidRPr="003A69C2" w14:paraId="6C307187"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85" w14:textId="77777777" w:rsidR="000E3517" w:rsidRPr="003A69C2" w:rsidRDefault="008C4C90" w:rsidP="003A69C2">
            <w:pPr>
              <w:pStyle w:val="Body"/>
              <w:spacing w:before="60" w:after="60"/>
              <w:ind w:left="0"/>
              <w:rPr>
                <w:rFonts w:ascii="Arial" w:hAnsi="Arial" w:cs="Arial"/>
              </w:rPr>
            </w:pPr>
            <w:r w:rsidRPr="003A69C2">
              <w:rPr>
                <w:rFonts w:ascii="Arial" w:hAnsi="Arial" w:cs="Arial"/>
                <w:b/>
                <w:bCs/>
              </w:rPr>
              <w:t>Re-audit date</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86" w14:textId="77777777" w:rsidR="000E3517" w:rsidRPr="003A69C2" w:rsidRDefault="008C4C90" w:rsidP="003A69C2">
            <w:pPr>
              <w:pStyle w:val="Body"/>
              <w:spacing w:before="60" w:after="60"/>
              <w:ind w:left="0"/>
              <w:jc w:val="left"/>
              <w:rPr>
                <w:rFonts w:ascii="Arial" w:hAnsi="Arial" w:cs="Arial"/>
              </w:rPr>
            </w:pPr>
            <w:r w:rsidRPr="003A69C2">
              <w:rPr>
                <w:rFonts w:ascii="Arial" w:hAnsi="Arial" w:cs="Arial"/>
                <w:color w:val="FF0000"/>
                <w:u w:color="FF0000"/>
              </w:rPr>
              <w:t>(To be inserted by the author)</w:t>
            </w:r>
          </w:p>
        </w:tc>
      </w:tr>
      <w:tr w:rsidR="000E3517" w:rsidRPr="003A69C2" w14:paraId="6C307193" w14:textId="77777777" w:rsidTr="003A69C2">
        <w:trPr>
          <w:trHeight w:val="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88" w14:textId="77777777" w:rsidR="000E3517" w:rsidRPr="003A69C2" w:rsidRDefault="008C4C90" w:rsidP="003A69C2">
            <w:pPr>
              <w:pStyle w:val="Body"/>
              <w:spacing w:before="60" w:after="60"/>
              <w:ind w:left="0"/>
              <w:rPr>
                <w:rFonts w:ascii="Arial" w:hAnsi="Arial" w:cs="Arial"/>
              </w:rPr>
            </w:pPr>
            <w:r w:rsidRPr="003A69C2">
              <w:rPr>
                <w:rFonts w:ascii="Arial" w:hAnsi="Arial" w:cs="Arial"/>
                <w:b/>
                <w:bCs/>
              </w:rPr>
              <w:t>References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9C436B7" w14:textId="4715E90D" w:rsidR="00760006" w:rsidRPr="003A69C2" w:rsidRDefault="008C4C90" w:rsidP="003A69C2">
            <w:pPr>
              <w:pStyle w:val="Default"/>
              <w:numPr>
                <w:ilvl w:val="0"/>
                <w:numId w:val="9"/>
              </w:numPr>
              <w:tabs>
                <w:tab w:val="clear" w:pos="360"/>
              </w:tabs>
              <w:spacing w:before="60" w:after="120"/>
              <w:ind w:left="425" w:hanging="425"/>
              <w:jc w:val="left"/>
              <w:rPr>
                <w:rFonts w:cs="Arial"/>
                <w:sz w:val="22"/>
                <w:szCs w:val="22"/>
                <w:lang w:val="en-GB"/>
              </w:rPr>
            </w:pPr>
            <w:r w:rsidRPr="003A69C2">
              <w:rPr>
                <w:rFonts w:cs="Arial"/>
                <w:sz w:val="22"/>
                <w:szCs w:val="22"/>
                <w:lang w:val="en-GB"/>
              </w:rPr>
              <w:t xml:space="preserve">Cross P, Chandra A, Giles T, Johnson S </w:t>
            </w:r>
            <w:r w:rsidR="002B24FD" w:rsidRPr="003A69C2">
              <w:rPr>
                <w:rFonts w:cs="Arial"/>
                <w:sz w:val="22"/>
                <w:szCs w:val="22"/>
                <w:lang w:val="en-GB"/>
              </w:rPr>
              <w:t>J,</w:t>
            </w:r>
            <w:r w:rsidRPr="003A69C2">
              <w:rPr>
                <w:rFonts w:cs="Arial"/>
                <w:sz w:val="22"/>
                <w:szCs w:val="22"/>
                <w:lang w:val="en-GB"/>
              </w:rPr>
              <w:t xml:space="preserve"> Poller D. </w:t>
            </w:r>
            <w:r w:rsidRPr="003A69C2">
              <w:rPr>
                <w:rFonts w:cs="Arial"/>
                <w:i/>
                <w:iCs/>
                <w:sz w:val="22"/>
                <w:szCs w:val="22"/>
                <w:lang w:val="en-GB"/>
              </w:rPr>
              <w:t xml:space="preserve">Guidance for the </w:t>
            </w:r>
            <w:r w:rsidR="003A69C2">
              <w:rPr>
                <w:rFonts w:cs="Arial"/>
                <w:i/>
                <w:iCs/>
                <w:sz w:val="22"/>
                <w:szCs w:val="22"/>
                <w:lang w:val="en-GB"/>
              </w:rPr>
              <w:t>R</w:t>
            </w:r>
            <w:r w:rsidRPr="003A69C2">
              <w:rPr>
                <w:rFonts w:cs="Arial"/>
                <w:i/>
                <w:iCs/>
                <w:sz w:val="22"/>
                <w:szCs w:val="22"/>
                <w:lang w:val="en-GB"/>
              </w:rPr>
              <w:t xml:space="preserve">eporting of </w:t>
            </w:r>
            <w:r w:rsidR="003A69C2">
              <w:rPr>
                <w:rFonts w:cs="Arial"/>
                <w:i/>
                <w:iCs/>
                <w:sz w:val="22"/>
                <w:szCs w:val="22"/>
                <w:lang w:val="en-GB"/>
              </w:rPr>
              <w:t>T</w:t>
            </w:r>
            <w:r w:rsidRPr="003A69C2">
              <w:rPr>
                <w:rFonts w:cs="Arial"/>
                <w:i/>
                <w:iCs/>
                <w:sz w:val="22"/>
                <w:szCs w:val="22"/>
                <w:lang w:val="en-GB"/>
              </w:rPr>
              <w:t xml:space="preserve">hyroid </w:t>
            </w:r>
            <w:r w:rsidR="003A69C2">
              <w:rPr>
                <w:rFonts w:cs="Arial"/>
                <w:i/>
                <w:iCs/>
                <w:sz w:val="22"/>
                <w:szCs w:val="22"/>
                <w:lang w:val="en-GB"/>
              </w:rPr>
              <w:t>C</w:t>
            </w:r>
            <w:r w:rsidRPr="003A69C2">
              <w:rPr>
                <w:rFonts w:cs="Arial"/>
                <w:i/>
                <w:iCs/>
                <w:sz w:val="22"/>
                <w:szCs w:val="22"/>
                <w:lang w:val="en-GB"/>
              </w:rPr>
              <w:t>ytology (3rd edition).</w:t>
            </w:r>
            <w:r w:rsidRPr="003A69C2">
              <w:rPr>
                <w:rFonts w:cs="Arial"/>
                <w:sz w:val="22"/>
                <w:szCs w:val="22"/>
                <w:lang w:val="en-GB"/>
              </w:rPr>
              <w:t xml:space="preserve"> London, UK: The Royal College of Pathologists, 2022. </w:t>
            </w:r>
            <w:r w:rsidR="00E434C9" w:rsidRPr="003A69C2">
              <w:rPr>
                <w:rFonts w:cs="Arial"/>
                <w:sz w:val="22"/>
                <w:szCs w:val="22"/>
                <w:lang w:val="en-GB"/>
              </w:rPr>
              <w:t xml:space="preserve">Accessed November 2022. Available at: </w:t>
            </w:r>
            <w:hyperlink r:id="rId11" w:history="1">
              <w:r w:rsidR="003A69C2" w:rsidRPr="003A69C2">
                <w:rPr>
                  <w:rStyle w:val="Hyperlink"/>
                  <w:rFonts w:cs="Arial"/>
                  <w:color w:val="0000FF"/>
                  <w:sz w:val="22"/>
                  <w:szCs w:val="22"/>
                  <w:u w:color="0000FF"/>
                  <w:lang w:val="en-GB"/>
                </w:rPr>
                <w:t>https://www.rcpath.org/profession/guidelines/specialty-specific-publications.html</w:t>
              </w:r>
            </w:hyperlink>
            <w:r w:rsidR="004D6FF4" w:rsidRPr="003A69C2">
              <w:rPr>
                <w:rFonts w:cs="Arial"/>
                <w:sz w:val="22"/>
                <w:szCs w:val="22"/>
                <w:lang w:val="en-GB"/>
              </w:rPr>
              <w:t xml:space="preserve"> </w:t>
            </w:r>
          </w:p>
          <w:p w14:paraId="6C30718E" w14:textId="45264F7D" w:rsidR="000E3517" w:rsidRPr="003A69C2" w:rsidRDefault="008C4C90" w:rsidP="003A69C2">
            <w:pPr>
              <w:pStyle w:val="Default"/>
              <w:numPr>
                <w:ilvl w:val="0"/>
                <w:numId w:val="9"/>
              </w:numPr>
              <w:tabs>
                <w:tab w:val="clear" w:pos="360"/>
              </w:tabs>
              <w:spacing w:before="60" w:after="120"/>
              <w:ind w:left="425" w:hanging="425"/>
              <w:jc w:val="left"/>
              <w:rPr>
                <w:rFonts w:cs="Arial"/>
                <w:sz w:val="22"/>
                <w:szCs w:val="22"/>
                <w:lang w:val="en-GB"/>
              </w:rPr>
            </w:pPr>
            <w:proofErr w:type="spellStart"/>
            <w:r w:rsidRPr="003A69C2">
              <w:rPr>
                <w:rFonts w:cs="Arial"/>
                <w:color w:val="212121"/>
                <w:sz w:val="22"/>
                <w:szCs w:val="22"/>
                <w:u w:color="212121"/>
                <w:shd w:val="clear" w:color="auto" w:fill="FFFFFF"/>
                <w:lang w:val="en-GB"/>
              </w:rPr>
              <w:t>Cibas</w:t>
            </w:r>
            <w:proofErr w:type="spellEnd"/>
            <w:r w:rsidRPr="003A69C2">
              <w:rPr>
                <w:rFonts w:cs="Arial"/>
                <w:color w:val="212121"/>
                <w:sz w:val="22"/>
                <w:szCs w:val="22"/>
                <w:u w:color="212121"/>
                <w:shd w:val="clear" w:color="auto" w:fill="FFFFFF"/>
                <w:lang w:val="en-GB"/>
              </w:rPr>
              <w:t xml:space="preserve"> ES, Ali SZ. </w:t>
            </w:r>
            <w:r w:rsidRPr="003A69C2">
              <w:rPr>
                <w:rFonts w:cs="Arial"/>
                <w:sz w:val="22"/>
                <w:szCs w:val="22"/>
                <w:u w:color="212121"/>
                <w:shd w:val="clear" w:color="auto" w:fill="FFFFFF"/>
                <w:lang w:val="en-GB"/>
              </w:rPr>
              <w:t xml:space="preserve">The 2017 Bethesda System for Reporting Thyroid Cytopathology. </w:t>
            </w:r>
            <w:r w:rsidRPr="003A69C2">
              <w:rPr>
                <w:rFonts w:cs="Arial"/>
                <w:i/>
                <w:iCs/>
                <w:color w:val="212121"/>
                <w:sz w:val="22"/>
                <w:szCs w:val="22"/>
                <w:u w:color="212121"/>
                <w:shd w:val="clear" w:color="auto" w:fill="FFFFFF"/>
                <w:lang w:val="en-GB"/>
              </w:rPr>
              <w:t>Thyroid</w:t>
            </w:r>
            <w:r w:rsidRPr="003A69C2">
              <w:rPr>
                <w:rFonts w:cs="Arial"/>
                <w:color w:val="212121"/>
                <w:sz w:val="22"/>
                <w:szCs w:val="22"/>
                <w:u w:color="212121"/>
                <w:shd w:val="clear" w:color="auto" w:fill="FFFFFF"/>
                <w:lang w:val="en-GB"/>
              </w:rPr>
              <w:t xml:space="preserve"> </w:t>
            </w:r>
            <w:proofErr w:type="gramStart"/>
            <w:r w:rsidRPr="003A69C2">
              <w:rPr>
                <w:rFonts w:cs="Arial"/>
                <w:color w:val="212121"/>
                <w:sz w:val="22"/>
                <w:szCs w:val="22"/>
                <w:u w:color="212121"/>
                <w:shd w:val="clear" w:color="auto" w:fill="FFFFFF"/>
                <w:lang w:val="en-GB"/>
              </w:rPr>
              <w:t>2017;27:1341</w:t>
            </w:r>
            <w:proofErr w:type="gramEnd"/>
            <w:r w:rsidRPr="003A69C2">
              <w:rPr>
                <w:rFonts w:cs="Arial"/>
                <w:sz w:val="22"/>
                <w:szCs w:val="22"/>
                <w:lang w:val="en-GB"/>
              </w:rPr>
              <w:t>–</w:t>
            </w:r>
            <w:r w:rsidRPr="003A69C2">
              <w:rPr>
                <w:rFonts w:cs="Arial"/>
                <w:color w:val="212121"/>
                <w:sz w:val="22"/>
                <w:szCs w:val="22"/>
                <w:u w:color="212121"/>
                <w:shd w:val="clear" w:color="auto" w:fill="FFFFFF"/>
                <w:lang w:val="en-GB"/>
              </w:rPr>
              <w:t>1346.</w:t>
            </w:r>
          </w:p>
          <w:p w14:paraId="66394B70" w14:textId="2B063648" w:rsidR="00760006" w:rsidRPr="003A69C2" w:rsidRDefault="008C4C90" w:rsidP="003A69C2">
            <w:pPr>
              <w:pStyle w:val="Heading"/>
              <w:numPr>
                <w:ilvl w:val="0"/>
                <w:numId w:val="9"/>
              </w:numPr>
              <w:tabs>
                <w:tab w:val="clear" w:pos="360"/>
              </w:tabs>
              <w:spacing w:before="60" w:after="120"/>
              <w:ind w:left="425" w:hanging="425"/>
              <w:jc w:val="left"/>
              <w:rPr>
                <w:rFonts w:ascii="Arial" w:hAnsi="Arial" w:cs="Arial"/>
                <w:b w:val="0"/>
                <w:bCs w:val="0"/>
              </w:rPr>
            </w:pPr>
            <w:r w:rsidRPr="003A69C2">
              <w:rPr>
                <w:rFonts w:ascii="Arial" w:hAnsi="Arial" w:cs="Arial"/>
                <w:b w:val="0"/>
                <w:bCs w:val="0"/>
              </w:rPr>
              <w:t xml:space="preserve">The British Association of Endocrine and Thyroid Surgeons. </w:t>
            </w:r>
            <w:r w:rsidRPr="003A69C2">
              <w:rPr>
                <w:rFonts w:ascii="Arial" w:hAnsi="Arial" w:cs="Arial"/>
                <w:b w:val="0"/>
                <w:bCs w:val="0"/>
                <w:i/>
                <w:iCs/>
              </w:rPr>
              <w:t xml:space="preserve">Fifth National Audit Report 2017. </w:t>
            </w:r>
            <w:r w:rsidRPr="003A69C2">
              <w:rPr>
                <w:rFonts w:ascii="Arial" w:hAnsi="Arial" w:cs="Arial"/>
                <w:b w:val="0"/>
                <w:bCs w:val="0"/>
              </w:rPr>
              <w:t>Oxfordshire, UK: Dendrite Clinical Systems Ltd, 2017.</w:t>
            </w:r>
            <w:r w:rsidR="003A69C2">
              <w:rPr>
                <w:rFonts w:ascii="Arial" w:hAnsi="Arial" w:cs="Arial"/>
                <w:b w:val="0"/>
                <w:bCs w:val="0"/>
              </w:rPr>
              <w:t xml:space="preserve"> Available at: </w:t>
            </w:r>
            <w:hyperlink r:id="rId12" w:history="1">
              <w:r w:rsidRPr="003A69C2">
                <w:rPr>
                  <w:rStyle w:val="Hyperlink0"/>
                  <w:rFonts w:ascii="Arial" w:hAnsi="Arial" w:cs="Arial"/>
                  <w:b w:val="0"/>
                  <w:bCs w:val="0"/>
                  <w:lang w:val="en-GB"/>
                </w:rPr>
                <w:t>www.baets.org.uk/wp-content/uploads/BAETS-Audit-National-Report-2017.pdf</w:t>
              </w:r>
            </w:hyperlink>
          </w:p>
          <w:p w14:paraId="6C307192" w14:textId="2E015CD8" w:rsidR="000E3517" w:rsidRPr="003A69C2" w:rsidRDefault="008C4C90" w:rsidP="003A69C2">
            <w:pPr>
              <w:pStyle w:val="Heading"/>
              <w:numPr>
                <w:ilvl w:val="0"/>
                <w:numId w:val="9"/>
              </w:numPr>
              <w:tabs>
                <w:tab w:val="clear" w:pos="360"/>
              </w:tabs>
              <w:spacing w:before="60" w:after="120"/>
              <w:ind w:left="425" w:hanging="425"/>
              <w:jc w:val="left"/>
              <w:rPr>
                <w:rFonts w:ascii="Arial" w:eastAsia="Arial" w:hAnsi="Arial" w:cs="Arial"/>
                <w:b w:val="0"/>
                <w:bCs w:val="0"/>
              </w:rPr>
            </w:pPr>
            <w:r w:rsidRPr="003A69C2">
              <w:rPr>
                <w:rFonts w:ascii="Arial" w:hAnsi="Arial" w:cs="Arial"/>
                <w:b w:val="0"/>
                <w:bCs w:val="0"/>
              </w:rPr>
              <w:t xml:space="preserve">The Royal College of Pathologists. </w:t>
            </w:r>
            <w:r w:rsidRPr="003A69C2">
              <w:rPr>
                <w:rFonts w:ascii="Arial" w:hAnsi="Arial" w:cs="Arial"/>
                <w:b w:val="0"/>
                <w:bCs w:val="0"/>
                <w:i/>
                <w:iCs/>
              </w:rPr>
              <w:t xml:space="preserve">Dataset for </w:t>
            </w:r>
            <w:r w:rsidR="003A69C2">
              <w:rPr>
                <w:rFonts w:ascii="Arial" w:hAnsi="Arial" w:cs="Arial"/>
                <w:b w:val="0"/>
                <w:bCs w:val="0"/>
                <w:i/>
                <w:iCs/>
              </w:rPr>
              <w:t>T</w:t>
            </w:r>
            <w:r w:rsidRPr="003A69C2">
              <w:rPr>
                <w:rFonts w:ascii="Arial" w:hAnsi="Arial" w:cs="Arial"/>
                <w:b w:val="0"/>
                <w:bCs w:val="0"/>
                <w:i/>
                <w:iCs/>
              </w:rPr>
              <w:t xml:space="preserve">hyroid </w:t>
            </w:r>
            <w:r w:rsidR="003A69C2">
              <w:rPr>
                <w:rFonts w:ascii="Arial" w:hAnsi="Arial" w:cs="Arial"/>
                <w:b w:val="0"/>
                <w:bCs w:val="0"/>
                <w:i/>
                <w:iCs/>
              </w:rPr>
              <w:t>C</w:t>
            </w:r>
            <w:r w:rsidRPr="003A69C2">
              <w:rPr>
                <w:rFonts w:ascii="Arial" w:hAnsi="Arial" w:cs="Arial"/>
                <w:b w:val="0"/>
                <w:bCs w:val="0"/>
                <w:i/>
                <w:iCs/>
              </w:rPr>
              <w:t xml:space="preserve">ancer </w:t>
            </w:r>
            <w:r w:rsidR="003A69C2">
              <w:rPr>
                <w:rFonts w:ascii="Arial" w:hAnsi="Arial" w:cs="Arial"/>
                <w:b w:val="0"/>
                <w:bCs w:val="0"/>
                <w:i/>
                <w:iCs/>
              </w:rPr>
              <w:t>H</w:t>
            </w:r>
            <w:r w:rsidRPr="003A69C2">
              <w:rPr>
                <w:rFonts w:ascii="Arial" w:hAnsi="Arial" w:cs="Arial"/>
                <w:b w:val="0"/>
                <w:bCs w:val="0"/>
                <w:i/>
                <w:iCs/>
              </w:rPr>
              <w:t xml:space="preserve">istopathology </w:t>
            </w:r>
            <w:r w:rsidR="003A69C2">
              <w:rPr>
                <w:rFonts w:ascii="Arial" w:hAnsi="Arial" w:cs="Arial"/>
                <w:b w:val="0"/>
                <w:bCs w:val="0"/>
                <w:i/>
                <w:iCs/>
              </w:rPr>
              <w:t>R</w:t>
            </w:r>
            <w:r w:rsidRPr="003A69C2">
              <w:rPr>
                <w:rFonts w:ascii="Arial" w:hAnsi="Arial" w:cs="Arial"/>
                <w:b w:val="0"/>
                <w:bCs w:val="0"/>
                <w:i/>
                <w:iCs/>
              </w:rPr>
              <w:t xml:space="preserve">eports. </w:t>
            </w:r>
            <w:r w:rsidRPr="003A69C2">
              <w:rPr>
                <w:rFonts w:ascii="Arial" w:hAnsi="Arial" w:cs="Arial"/>
                <w:b w:val="0"/>
                <w:bCs w:val="0"/>
              </w:rPr>
              <w:t>London, UK: Royal College of Pathologists, 2014. Accessed October 202</w:t>
            </w:r>
            <w:r w:rsidR="009B2193" w:rsidRPr="003A69C2">
              <w:rPr>
                <w:rFonts w:ascii="Arial" w:hAnsi="Arial" w:cs="Arial"/>
                <w:b w:val="0"/>
                <w:bCs w:val="0"/>
              </w:rPr>
              <w:t>2</w:t>
            </w:r>
            <w:r w:rsidRPr="003A69C2">
              <w:rPr>
                <w:rFonts w:ascii="Arial" w:hAnsi="Arial" w:cs="Arial"/>
                <w:b w:val="0"/>
                <w:bCs w:val="0"/>
              </w:rPr>
              <w:t xml:space="preserve">. Available at: </w:t>
            </w:r>
            <w:hyperlink r:id="rId13" w:history="1">
              <w:r w:rsidRPr="003A69C2">
                <w:rPr>
                  <w:rStyle w:val="Hyperlink1"/>
                  <w:b w:val="0"/>
                  <w:bCs w:val="0"/>
                  <w:color w:val="0000FF"/>
                  <w:u w:color="0000FF"/>
                  <w:lang w:val="en-GB"/>
                </w:rPr>
                <w:t>www.rcpath.org/profession/publications/cancer-datasets.html</w:t>
              </w:r>
            </w:hyperlink>
            <w:r w:rsidRPr="003A69C2">
              <w:rPr>
                <w:rStyle w:val="None"/>
                <w:rFonts w:ascii="Arial" w:hAnsi="Arial" w:cs="Arial"/>
                <w:b w:val="0"/>
                <w:bCs w:val="0"/>
                <w:color w:val="0000FF"/>
              </w:rPr>
              <w:t xml:space="preserve"> </w:t>
            </w:r>
          </w:p>
        </w:tc>
      </w:tr>
    </w:tbl>
    <w:p w14:paraId="6C307197" w14:textId="21048BB3" w:rsidR="000E3517" w:rsidRPr="003A69C2" w:rsidRDefault="000E3517" w:rsidP="00760006">
      <w:pPr>
        <w:pStyle w:val="Body"/>
        <w:widowControl w:val="0"/>
        <w:ind w:left="0"/>
        <w:rPr>
          <w:rStyle w:val="None"/>
          <w:rFonts w:ascii="Arial" w:eastAsia="Arial" w:hAnsi="Arial" w:cs="Arial"/>
          <w:i/>
          <w:iCs/>
          <w:color w:val="FF00FF"/>
          <w:u w:color="FF00FF"/>
        </w:rPr>
      </w:pPr>
    </w:p>
    <w:p w14:paraId="467024E6" w14:textId="0879965B" w:rsidR="00E45129" w:rsidRPr="003A69C2" w:rsidRDefault="00E45129" w:rsidP="00760006">
      <w:pPr>
        <w:pStyle w:val="Body"/>
        <w:widowControl w:val="0"/>
        <w:ind w:left="0"/>
        <w:rPr>
          <w:rStyle w:val="None"/>
          <w:rFonts w:ascii="Arial" w:eastAsia="Arial" w:hAnsi="Arial" w:cs="Arial"/>
          <w:i/>
          <w:iCs/>
          <w:color w:val="FF00FF"/>
          <w:u w:color="FF00FF"/>
        </w:rPr>
      </w:pPr>
    </w:p>
    <w:p w14:paraId="3B89D18A" w14:textId="3138629E" w:rsidR="00E5399D" w:rsidRPr="003A69C2" w:rsidRDefault="00E5399D" w:rsidP="00760006">
      <w:pPr>
        <w:pStyle w:val="Body"/>
        <w:widowControl w:val="0"/>
        <w:ind w:left="0"/>
        <w:rPr>
          <w:rStyle w:val="None"/>
          <w:rFonts w:ascii="Arial" w:eastAsia="Arial" w:hAnsi="Arial" w:cs="Arial"/>
          <w:i/>
          <w:iCs/>
          <w:color w:val="FF00FF"/>
          <w:u w:color="FF00FF"/>
        </w:rPr>
      </w:pPr>
    </w:p>
    <w:p w14:paraId="5B2C05D0" w14:textId="42E7E22A" w:rsidR="00E5399D" w:rsidRPr="003A69C2" w:rsidRDefault="00E5399D" w:rsidP="00760006">
      <w:pPr>
        <w:pStyle w:val="Body"/>
        <w:widowControl w:val="0"/>
        <w:ind w:left="0"/>
        <w:rPr>
          <w:rStyle w:val="None"/>
          <w:rFonts w:ascii="Arial" w:eastAsia="Arial" w:hAnsi="Arial" w:cs="Arial"/>
          <w:i/>
          <w:iCs/>
          <w:color w:val="FF00FF"/>
          <w:u w:color="FF00FF"/>
        </w:rPr>
      </w:pPr>
    </w:p>
    <w:p w14:paraId="54DC4AC9" w14:textId="222DDF95" w:rsidR="00E5399D" w:rsidRPr="003A69C2" w:rsidRDefault="00E5399D" w:rsidP="00760006">
      <w:pPr>
        <w:pStyle w:val="Body"/>
        <w:widowControl w:val="0"/>
        <w:ind w:left="0"/>
        <w:rPr>
          <w:rStyle w:val="None"/>
          <w:rFonts w:ascii="Arial" w:eastAsia="Arial" w:hAnsi="Arial" w:cs="Arial"/>
          <w:i/>
          <w:iCs/>
          <w:color w:val="FF00FF"/>
          <w:u w:color="FF00FF"/>
        </w:rPr>
      </w:pPr>
    </w:p>
    <w:p w14:paraId="54E71372" w14:textId="3FE1DEB8" w:rsidR="00E5399D" w:rsidRPr="003A69C2" w:rsidRDefault="00E5399D" w:rsidP="00760006">
      <w:pPr>
        <w:pStyle w:val="Body"/>
        <w:widowControl w:val="0"/>
        <w:ind w:left="0"/>
        <w:rPr>
          <w:rStyle w:val="None"/>
          <w:rFonts w:ascii="Arial" w:eastAsia="Arial" w:hAnsi="Arial" w:cs="Arial"/>
          <w:i/>
          <w:iCs/>
          <w:color w:val="FF00FF"/>
          <w:u w:color="FF00FF"/>
        </w:rPr>
      </w:pPr>
    </w:p>
    <w:p w14:paraId="572A1EAC" w14:textId="05E7808F" w:rsidR="00E5399D" w:rsidRPr="003A69C2" w:rsidRDefault="00E5399D" w:rsidP="00760006">
      <w:pPr>
        <w:pStyle w:val="Body"/>
        <w:widowControl w:val="0"/>
        <w:ind w:left="0"/>
        <w:rPr>
          <w:rStyle w:val="None"/>
          <w:rFonts w:ascii="Arial" w:eastAsia="Arial" w:hAnsi="Arial" w:cs="Arial"/>
          <w:i/>
          <w:iCs/>
          <w:color w:val="FF00FF"/>
          <w:u w:color="FF00FF"/>
        </w:rPr>
      </w:pPr>
    </w:p>
    <w:p w14:paraId="1D3B99C9" w14:textId="12877177" w:rsidR="00E5399D" w:rsidRPr="003A69C2" w:rsidRDefault="00E5399D" w:rsidP="00760006">
      <w:pPr>
        <w:pStyle w:val="Body"/>
        <w:widowControl w:val="0"/>
        <w:ind w:left="0"/>
        <w:rPr>
          <w:rStyle w:val="None"/>
          <w:rFonts w:ascii="Arial" w:eastAsia="Arial" w:hAnsi="Arial" w:cs="Arial"/>
          <w:i/>
          <w:iCs/>
          <w:color w:val="FF00FF"/>
          <w:u w:color="FF00FF"/>
        </w:rPr>
      </w:pPr>
    </w:p>
    <w:p w14:paraId="7118939B" w14:textId="56E3960C" w:rsidR="00E5399D" w:rsidRPr="003A69C2" w:rsidRDefault="00E5399D" w:rsidP="00760006">
      <w:pPr>
        <w:pStyle w:val="Body"/>
        <w:widowControl w:val="0"/>
        <w:ind w:left="0"/>
        <w:rPr>
          <w:rStyle w:val="None"/>
          <w:rFonts w:ascii="Arial" w:eastAsia="Arial" w:hAnsi="Arial" w:cs="Arial"/>
          <w:i/>
          <w:iCs/>
          <w:color w:val="FF00FF"/>
          <w:u w:color="FF00FF"/>
        </w:rPr>
      </w:pPr>
    </w:p>
    <w:p w14:paraId="74002432" w14:textId="44798A33" w:rsidR="00E5399D" w:rsidRPr="003A69C2" w:rsidRDefault="00E5399D" w:rsidP="00760006">
      <w:pPr>
        <w:pStyle w:val="Body"/>
        <w:widowControl w:val="0"/>
        <w:ind w:left="0"/>
        <w:rPr>
          <w:rStyle w:val="None"/>
          <w:rFonts w:ascii="Arial" w:eastAsia="Arial" w:hAnsi="Arial" w:cs="Arial"/>
          <w:i/>
          <w:iCs/>
          <w:color w:val="FF00FF"/>
          <w:u w:color="FF00FF"/>
        </w:rPr>
      </w:pPr>
    </w:p>
    <w:p w14:paraId="05B7A012" w14:textId="70848856" w:rsidR="00E5399D" w:rsidRPr="003A69C2" w:rsidRDefault="00E5399D" w:rsidP="00760006">
      <w:pPr>
        <w:pStyle w:val="Body"/>
        <w:widowControl w:val="0"/>
        <w:ind w:left="0"/>
        <w:rPr>
          <w:rStyle w:val="None"/>
          <w:rFonts w:ascii="Arial" w:eastAsia="Arial" w:hAnsi="Arial" w:cs="Arial"/>
          <w:i/>
          <w:iCs/>
          <w:color w:val="FF00FF"/>
          <w:u w:color="FF00FF"/>
        </w:rPr>
      </w:pPr>
    </w:p>
    <w:p w14:paraId="276F351E" w14:textId="70558CB3" w:rsidR="00E5399D" w:rsidRPr="003A69C2" w:rsidRDefault="00E5399D" w:rsidP="00760006">
      <w:pPr>
        <w:pStyle w:val="Body"/>
        <w:widowControl w:val="0"/>
        <w:ind w:left="0"/>
        <w:rPr>
          <w:rStyle w:val="None"/>
          <w:rFonts w:ascii="Arial" w:eastAsia="Arial" w:hAnsi="Arial" w:cs="Arial"/>
          <w:i/>
          <w:iCs/>
          <w:color w:val="FF00FF"/>
          <w:u w:color="FF00FF"/>
        </w:rPr>
      </w:pPr>
    </w:p>
    <w:p w14:paraId="1D038FD6" w14:textId="2CB1D24B" w:rsidR="00E5399D" w:rsidRPr="003A69C2" w:rsidRDefault="00E5399D" w:rsidP="00760006">
      <w:pPr>
        <w:pStyle w:val="Body"/>
        <w:widowControl w:val="0"/>
        <w:ind w:left="0"/>
        <w:rPr>
          <w:rStyle w:val="None"/>
          <w:rFonts w:ascii="Arial" w:eastAsia="Arial" w:hAnsi="Arial" w:cs="Arial"/>
          <w:i/>
          <w:iCs/>
          <w:color w:val="FF00FF"/>
          <w:u w:color="FF00FF"/>
        </w:rPr>
      </w:pPr>
    </w:p>
    <w:p w14:paraId="3CDD6103" w14:textId="13DF7ACC" w:rsidR="00E5399D" w:rsidRPr="003A69C2" w:rsidRDefault="00E5399D" w:rsidP="00760006">
      <w:pPr>
        <w:pStyle w:val="Body"/>
        <w:widowControl w:val="0"/>
        <w:ind w:left="0"/>
        <w:rPr>
          <w:rStyle w:val="None"/>
          <w:rFonts w:ascii="Arial" w:eastAsia="Arial" w:hAnsi="Arial" w:cs="Arial"/>
          <w:i/>
          <w:iCs/>
          <w:color w:val="FF00FF"/>
          <w:u w:color="FF00FF"/>
        </w:rPr>
      </w:pPr>
    </w:p>
    <w:p w14:paraId="7F769B41" w14:textId="042F00D5" w:rsidR="00E5399D" w:rsidRPr="003A69C2" w:rsidRDefault="00E5399D" w:rsidP="00760006">
      <w:pPr>
        <w:pStyle w:val="Body"/>
        <w:widowControl w:val="0"/>
        <w:ind w:left="0"/>
        <w:rPr>
          <w:rStyle w:val="None"/>
          <w:rFonts w:ascii="Arial" w:eastAsia="Arial" w:hAnsi="Arial" w:cs="Arial"/>
          <w:i/>
          <w:iCs/>
          <w:color w:val="FF00FF"/>
          <w:u w:color="FF00FF"/>
        </w:rPr>
      </w:pPr>
    </w:p>
    <w:p w14:paraId="1A3F945E" w14:textId="142B9B57" w:rsidR="00E5399D" w:rsidRPr="003A69C2" w:rsidRDefault="00E5399D" w:rsidP="00760006">
      <w:pPr>
        <w:pStyle w:val="Body"/>
        <w:widowControl w:val="0"/>
        <w:ind w:left="0"/>
        <w:rPr>
          <w:rStyle w:val="None"/>
          <w:rFonts w:ascii="Arial" w:eastAsia="Arial" w:hAnsi="Arial" w:cs="Arial"/>
          <w:i/>
          <w:iCs/>
          <w:color w:val="FF00FF"/>
          <w:u w:color="FF00FF"/>
        </w:rPr>
      </w:pPr>
    </w:p>
    <w:p w14:paraId="67F30D21" w14:textId="724B917D" w:rsidR="00E5399D" w:rsidRPr="003A69C2" w:rsidRDefault="00E5399D" w:rsidP="00760006">
      <w:pPr>
        <w:pStyle w:val="Body"/>
        <w:widowControl w:val="0"/>
        <w:ind w:left="0"/>
        <w:rPr>
          <w:rStyle w:val="None"/>
          <w:rFonts w:ascii="Arial" w:eastAsia="Arial" w:hAnsi="Arial" w:cs="Arial"/>
          <w:i/>
          <w:iCs/>
          <w:color w:val="FF00FF"/>
          <w:u w:color="FF00FF"/>
        </w:rPr>
      </w:pPr>
    </w:p>
    <w:p w14:paraId="581954D5" w14:textId="5ED842EC" w:rsidR="00E5399D" w:rsidRPr="003A69C2" w:rsidRDefault="00E5399D" w:rsidP="00760006">
      <w:pPr>
        <w:pStyle w:val="Body"/>
        <w:widowControl w:val="0"/>
        <w:ind w:left="0"/>
        <w:rPr>
          <w:rStyle w:val="None"/>
          <w:rFonts w:ascii="Arial" w:eastAsia="Arial" w:hAnsi="Arial" w:cs="Arial"/>
          <w:i/>
          <w:iCs/>
          <w:color w:val="FF00FF"/>
          <w:u w:color="FF00FF"/>
        </w:rPr>
      </w:pPr>
    </w:p>
    <w:p w14:paraId="298C45E1" w14:textId="0561A308" w:rsidR="00E5399D" w:rsidRPr="003A69C2" w:rsidRDefault="00E5399D" w:rsidP="00760006">
      <w:pPr>
        <w:pStyle w:val="Body"/>
        <w:widowControl w:val="0"/>
        <w:ind w:left="0"/>
        <w:rPr>
          <w:rStyle w:val="None"/>
          <w:rFonts w:ascii="Arial" w:eastAsia="Arial" w:hAnsi="Arial" w:cs="Arial"/>
          <w:i/>
          <w:iCs/>
          <w:color w:val="FF00FF"/>
          <w:u w:color="FF00FF"/>
        </w:rPr>
      </w:pPr>
    </w:p>
    <w:p w14:paraId="0DB818AA" w14:textId="6A96F26B" w:rsidR="00E5399D" w:rsidRPr="003A69C2" w:rsidRDefault="00E5399D" w:rsidP="00760006">
      <w:pPr>
        <w:pStyle w:val="Body"/>
        <w:widowControl w:val="0"/>
        <w:ind w:left="0"/>
        <w:rPr>
          <w:rStyle w:val="None"/>
          <w:rFonts w:ascii="Arial" w:eastAsia="Arial" w:hAnsi="Arial" w:cs="Arial"/>
          <w:i/>
          <w:iCs/>
          <w:color w:val="FF00FF"/>
          <w:u w:color="FF00FF"/>
        </w:rPr>
      </w:pPr>
    </w:p>
    <w:p w14:paraId="3BDEE9B5" w14:textId="71B8A1BD" w:rsidR="00E5399D" w:rsidRPr="003A69C2" w:rsidRDefault="00E5399D" w:rsidP="00760006">
      <w:pPr>
        <w:pStyle w:val="Body"/>
        <w:widowControl w:val="0"/>
        <w:ind w:left="0"/>
        <w:rPr>
          <w:rStyle w:val="None"/>
          <w:rFonts w:ascii="Arial" w:eastAsia="Arial" w:hAnsi="Arial" w:cs="Arial"/>
          <w:i/>
          <w:iCs/>
          <w:color w:val="FF00FF"/>
          <w:u w:color="FF00FF"/>
        </w:rPr>
      </w:pPr>
    </w:p>
    <w:p w14:paraId="5321B975" w14:textId="4FD4A9A0" w:rsidR="00E5399D" w:rsidRPr="003A69C2" w:rsidRDefault="00E5399D" w:rsidP="00760006">
      <w:pPr>
        <w:pStyle w:val="Body"/>
        <w:widowControl w:val="0"/>
        <w:ind w:left="0"/>
        <w:rPr>
          <w:rStyle w:val="None"/>
          <w:rFonts w:ascii="Arial" w:eastAsia="Arial" w:hAnsi="Arial" w:cs="Arial"/>
          <w:i/>
          <w:iCs/>
          <w:color w:val="FF00FF"/>
          <w:u w:color="FF00FF"/>
        </w:rPr>
      </w:pPr>
    </w:p>
    <w:p w14:paraId="1B9876B9" w14:textId="430F5579" w:rsidR="00E5399D" w:rsidRPr="003A69C2" w:rsidRDefault="00E5399D" w:rsidP="00760006">
      <w:pPr>
        <w:pStyle w:val="Body"/>
        <w:widowControl w:val="0"/>
        <w:ind w:left="0"/>
        <w:rPr>
          <w:rStyle w:val="None"/>
          <w:rFonts w:ascii="Arial" w:eastAsia="Arial" w:hAnsi="Arial" w:cs="Arial"/>
          <w:i/>
          <w:iCs/>
          <w:color w:val="FF00FF"/>
          <w:u w:color="FF00FF"/>
        </w:rPr>
      </w:pPr>
    </w:p>
    <w:p w14:paraId="3E4EDAA0" w14:textId="7225F387" w:rsidR="00E5399D" w:rsidRPr="003A69C2" w:rsidRDefault="00E5399D" w:rsidP="00760006">
      <w:pPr>
        <w:pStyle w:val="Body"/>
        <w:widowControl w:val="0"/>
        <w:ind w:left="0"/>
        <w:rPr>
          <w:rStyle w:val="None"/>
          <w:rFonts w:ascii="Arial" w:eastAsia="Arial" w:hAnsi="Arial" w:cs="Arial"/>
          <w:i/>
          <w:iCs/>
          <w:color w:val="FF00FF"/>
          <w:u w:color="FF00FF"/>
        </w:rPr>
      </w:pPr>
    </w:p>
    <w:p w14:paraId="34FC8638" w14:textId="56B5D5B4" w:rsidR="00E5399D" w:rsidRPr="003A69C2" w:rsidRDefault="00E5399D" w:rsidP="00760006">
      <w:pPr>
        <w:pStyle w:val="Body"/>
        <w:widowControl w:val="0"/>
        <w:ind w:left="0"/>
        <w:rPr>
          <w:rStyle w:val="None"/>
          <w:rFonts w:ascii="Arial" w:eastAsia="Arial" w:hAnsi="Arial" w:cs="Arial"/>
          <w:i/>
          <w:iCs/>
          <w:color w:val="FF00FF"/>
          <w:u w:color="FF00FF"/>
        </w:rPr>
      </w:pPr>
    </w:p>
    <w:p w14:paraId="18D43F8C" w14:textId="21969994" w:rsidR="00E5399D" w:rsidRPr="003A69C2" w:rsidRDefault="00E5399D" w:rsidP="00760006">
      <w:pPr>
        <w:pStyle w:val="Body"/>
        <w:widowControl w:val="0"/>
        <w:ind w:left="0"/>
        <w:rPr>
          <w:rStyle w:val="None"/>
          <w:rFonts w:ascii="Arial" w:eastAsia="Arial" w:hAnsi="Arial" w:cs="Arial"/>
          <w:i/>
          <w:iCs/>
          <w:color w:val="FF00FF"/>
          <w:u w:color="FF00FF"/>
        </w:rPr>
      </w:pPr>
    </w:p>
    <w:p w14:paraId="35290A3A" w14:textId="77777777" w:rsidR="003A69C2" w:rsidRDefault="003A69C2">
      <w:pPr>
        <w:rPr>
          <w:rStyle w:val="None"/>
          <w:rFonts w:ascii="Arial" w:hAnsi="Arial" w:cs="Arial"/>
          <w:b/>
          <w:bCs/>
          <w:color w:val="000000"/>
          <w:u w:color="000000"/>
          <w:lang w:val="en-GB" w:eastAsia="en-GB"/>
          <w14:textOutline w14:w="0" w14:cap="flat" w14:cmpd="sng" w14:algn="ctr">
            <w14:noFill/>
            <w14:prstDash w14:val="solid"/>
            <w14:bevel/>
          </w14:textOutline>
        </w:rPr>
      </w:pPr>
      <w:r>
        <w:rPr>
          <w:rStyle w:val="None"/>
          <w:rFonts w:ascii="Arial" w:hAnsi="Arial" w:cs="Arial"/>
          <w:b/>
          <w:bCs/>
        </w:rPr>
        <w:br w:type="page"/>
      </w:r>
    </w:p>
    <w:p w14:paraId="6C30719B" w14:textId="1E6C208A" w:rsidR="000E3517" w:rsidRPr="003A69C2" w:rsidRDefault="008C4C90">
      <w:pPr>
        <w:pStyle w:val="Body"/>
        <w:ind w:left="0"/>
        <w:jc w:val="center"/>
        <w:rPr>
          <w:rStyle w:val="None"/>
          <w:rFonts w:ascii="Arial" w:eastAsia="Arial" w:hAnsi="Arial" w:cs="Arial"/>
          <w:b/>
          <w:bCs/>
          <w:sz w:val="24"/>
          <w:szCs w:val="24"/>
        </w:rPr>
      </w:pPr>
      <w:r w:rsidRPr="003A69C2">
        <w:rPr>
          <w:rStyle w:val="None"/>
          <w:rFonts w:ascii="Arial" w:hAnsi="Arial" w:cs="Arial"/>
          <w:b/>
          <w:bCs/>
          <w:sz w:val="24"/>
          <w:szCs w:val="24"/>
        </w:rPr>
        <w:lastRenderedPageBreak/>
        <w:t>Data collection proforma for thyroid cytology specimens and their correlation with thyroid histology</w:t>
      </w:r>
    </w:p>
    <w:p w14:paraId="6C30719C" w14:textId="77777777" w:rsidR="000E3517" w:rsidRPr="003A69C2" w:rsidRDefault="000E3517">
      <w:pPr>
        <w:pStyle w:val="Body"/>
        <w:ind w:left="0"/>
        <w:jc w:val="center"/>
        <w:rPr>
          <w:rStyle w:val="None"/>
          <w:rFonts w:ascii="Arial" w:eastAsia="Arial" w:hAnsi="Arial" w:cs="Arial"/>
          <w:b/>
          <w:bCs/>
          <w:sz w:val="24"/>
          <w:szCs w:val="24"/>
        </w:rPr>
      </w:pPr>
    </w:p>
    <w:p w14:paraId="6C30719D" w14:textId="77777777" w:rsidR="000E3517" w:rsidRPr="003A69C2" w:rsidRDefault="008C4C90">
      <w:pPr>
        <w:pStyle w:val="Body"/>
        <w:ind w:left="0"/>
        <w:jc w:val="center"/>
        <w:rPr>
          <w:rStyle w:val="None"/>
          <w:rFonts w:ascii="Arial" w:eastAsia="Arial" w:hAnsi="Arial" w:cs="Arial"/>
          <w:b/>
          <w:bCs/>
          <w:sz w:val="24"/>
          <w:szCs w:val="24"/>
        </w:rPr>
      </w:pPr>
      <w:r w:rsidRPr="003A69C2">
        <w:rPr>
          <w:rStyle w:val="None"/>
          <w:rFonts w:ascii="Arial" w:hAnsi="Arial" w:cs="Arial"/>
          <w:b/>
          <w:bCs/>
          <w:sz w:val="24"/>
          <w:szCs w:val="24"/>
        </w:rPr>
        <w:t>Audit reviewing practice</w:t>
      </w:r>
    </w:p>
    <w:p w14:paraId="6C30719E" w14:textId="77777777" w:rsidR="000E3517" w:rsidRPr="003A69C2" w:rsidRDefault="000E3517">
      <w:pPr>
        <w:pStyle w:val="Body"/>
        <w:ind w:left="0"/>
        <w:jc w:val="center"/>
        <w:rPr>
          <w:rStyle w:val="None"/>
          <w:rFonts w:ascii="Arial" w:eastAsia="Arial" w:hAnsi="Arial" w:cs="Arial"/>
          <w:b/>
          <w:bCs/>
          <w:sz w:val="24"/>
          <w:szCs w:val="24"/>
        </w:rPr>
      </w:pPr>
    </w:p>
    <w:p w14:paraId="6C30719F" w14:textId="77777777" w:rsidR="000E3517" w:rsidRPr="003A69C2" w:rsidRDefault="008C4C90">
      <w:pPr>
        <w:pStyle w:val="Body"/>
        <w:ind w:left="0"/>
        <w:rPr>
          <w:rStyle w:val="None"/>
          <w:rFonts w:ascii="Arial" w:eastAsia="Arial" w:hAnsi="Arial" w:cs="Arial"/>
        </w:rPr>
      </w:pPr>
      <w:r w:rsidRPr="003A69C2">
        <w:rPr>
          <w:rStyle w:val="None"/>
          <w:rFonts w:ascii="Arial" w:hAnsi="Arial" w:cs="Arial"/>
        </w:rPr>
        <w:t>Patient name:</w:t>
      </w:r>
    </w:p>
    <w:p w14:paraId="6C3071A0" w14:textId="77777777" w:rsidR="000E3517" w:rsidRPr="003A69C2" w:rsidRDefault="000E3517">
      <w:pPr>
        <w:pStyle w:val="Body"/>
        <w:ind w:left="0"/>
        <w:rPr>
          <w:rStyle w:val="None"/>
          <w:rFonts w:ascii="Arial" w:eastAsia="Arial" w:hAnsi="Arial" w:cs="Arial"/>
        </w:rPr>
      </w:pPr>
    </w:p>
    <w:p w14:paraId="6C3071A1" w14:textId="77777777" w:rsidR="000E3517" w:rsidRPr="003A69C2" w:rsidRDefault="008C4C90">
      <w:pPr>
        <w:pStyle w:val="Body"/>
        <w:ind w:left="0"/>
        <w:rPr>
          <w:rStyle w:val="None"/>
          <w:rFonts w:ascii="Arial" w:eastAsia="Arial" w:hAnsi="Arial" w:cs="Arial"/>
        </w:rPr>
      </w:pPr>
      <w:r w:rsidRPr="003A69C2">
        <w:rPr>
          <w:rStyle w:val="None"/>
          <w:rFonts w:ascii="Arial" w:hAnsi="Arial" w:cs="Arial"/>
        </w:rPr>
        <w:t>Hospital number:</w:t>
      </w:r>
    </w:p>
    <w:p w14:paraId="6C3071A2" w14:textId="77777777" w:rsidR="000E3517" w:rsidRPr="003A69C2" w:rsidRDefault="000E3517">
      <w:pPr>
        <w:pStyle w:val="Body"/>
        <w:widowControl w:val="0"/>
        <w:ind w:left="0"/>
        <w:rPr>
          <w:rStyle w:val="None"/>
          <w:rFonts w:ascii="Arial" w:eastAsia="Arial" w:hAnsi="Arial" w:cs="Arial"/>
        </w:rPr>
      </w:pPr>
    </w:p>
    <w:p w14:paraId="6C3071A3" w14:textId="77777777" w:rsidR="000E3517" w:rsidRPr="003A69C2" w:rsidRDefault="008C4C90">
      <w:pPr>
        <w:pStyle w:val="Body"/>
        <w:widowControl w:val="0"/>
        <w:ind w:left="0"/>
        <w:rPr>
          <w:rStyle w:val="None"/>
          <w:rFonts w:ascii="Arial" w:eastAsia="Arial" w:hAnsi="Arial" w:cs="Arial"/>
        </w:rPr>
      </w:pPr>
      <w:r w:rsidRPr="003A69C2">
        <w:rPr>
          <w:rStyle w:val="None"/>
          <w:rFonts w:ascii="Arial" w:hAnsi="Arial" w:cs="Arial"/>
        </w:rPr>
        <w:t xml:space="preserve">Date of birth: </w:t>
      </w:r>
      <w:r w:rsidRPr="003A69C2">
        <w:rPr>
          <w:rStyle w:val="None"/>
          <w:rFonts w:ascii="Arial" w:hAnsi="Arial" w:cs="Arial"/>
        </w:rPr>
        <w:tab/>
      </w:r>
      <w:r w:rsidRPr="003A69C2">
        <w:rPr>
          <w:rStyle w:val="None"/>
          <w:rFonts w:ascii="Arial" w:hAnsi="Arial" w:cs="Arial"/>
        </w:rPr>
        <w:tab/>
      </w:r>
    </w:p>
    <w:p w14:paraId="6C3071A4" w14:textId="77777777" w:rsidR="000E3517" w:rsidRPr="003A69C2" w:rsidRDefault="000E3517">
      <w:pPr>
        <w:pStyle w:val="Body"/>
        <w:widowControl w:val="0"/>
        <w:tabs>
          <w:tab w:val="left" w:pos="2496"/>
        </w:tabs>
        <w:ind w:left="0"/>
        <w:rPr>
          <w:rStyle w:val="None"/>
          <w:rFonts w:ascii="Arial" w:eastAsia="Arial" w:hAnsi="Arial" w:cs="Arial"/>
        </w:rPr>
      </w:pPr>
    </w:p>
    <w:p w14:paraId="6C3071A5" w14:textId="77777777" w:rsidR="000E3517" w:rsidRPr="003A69C2" w:rsidRDefault="008C4C90">
      <w:pPr>
        <w:pStyle w:val="Body"/>
        <w:widowControl w:val="0"/>
        <w:ind w:left="0"/>
        <w:rPr>
          <w:rStyle w:val="None"/>
          <w:rFonts w:ascii="Arial" w:eastAsia="Arial" w:hAnsi="Arial" w:cs="Arial"/>
        </w:rPr>
      </w:pPr>
      <w:r w:rsidRPr="003A69C2">
        <w:rPr>
          <w:rStyle w:val="None"/>
          <w:rFonts w:ascii="Arial" w:hAnsi="Arial" w:cs="Arial"/>
        </w:rPr>
        <w:t>Consultant:</w:t>
      </w:r>
    </w:p>
    <w:p w14:paraId="6C3071A6" w14:textId="77777777" w:rsidR="000E3517" w:rsidRPr="003A69C2" w:rsidRDefault="000E3517">
      <w:pPr>
        <w:pStyle w:val="Body"/>
        <w:keepNext/>
        <w:ind w:left="0"/>
        <w:jc w:val="left"/>
        <w:rPr>
          <w:rStyle w:val="None"/>
          <w:rFonts w:ascii="Arial" w:eastAsia="Arial" w:hAnsi="Arial" w:cs="Arial"/>
          <w:sz w:val="24"/>
          <w:szCs w:val="24"/>
        </w:rPr>
      </w:pPr>
    </w:p>
    <w:tbl>
      <w:tblPr>
        <w:tblW w:w="1020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7"/>
        <w:gridCol w:w="1275"/>
        <w:gridCol w:w="1418"/>
        <w:gridCol w:w="1276"/>
        <w:gridCol w:w="992"/>
        <w:gridCol w:w="992"/>
        <w:gridCol w:w="992"/>
        <w:gridCol w:w="993"/>
        <w:gridCol w:w="992"/>
      </w:tblGrid>
      <w:tr w:rsidR="000E3517" w:rsidRPr="003A69C2" w14:paraId="6C3071A9" w14:textId="77777777" w:rsidTr="003A69C2">
        <w:trPr>
          <w:trHeight w:val="50"/>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7"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Cytology category</w:t>
            </w:r>
          </w:p>
        </w:tc>
        <w:tc>
          <w:tcPr>
            <w:tcW w:w="893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8" w14:textId="77777777" w:rsidR="000E3517" w:rsidRPr="003A69C2" w:rsidRDefault="008C4C90" w:rsidP="003A69C2">
            <w:pPr>
              <w:pStyle w:val="Body"/>
              <w:keepNext/>
              <w:spacing w:before="60" w:after="60"/>
              <w:ind w:left="0"/>
              <w:jc w:val="center"/>
              <w:rPr>
                <w:rFonts w:ascii="Arial" w:hAnsi="Arial" w:cs="Arial"/>
              </w:rPr>
            </w:pPr>
            <w:r w:rsidRPr="003A69C2">
              <w:rPr>
                <w:rStyle w:val="None"/>
                <w:rFonts w:ascii="Arial" w:hAnsi="Arial" w:cs="Arial"/>
                <w:b/>
                <w:bCs/>
              </w:rPr>
              <w:t>Outcome</w:t>
            </w:r>
          </w:p>
        </w:tc>
      </w:tr>
      <w:tr w:rsidR="000E3517" w:rsidRPr="003A69C2" w14:paraId="6C3071AD" w14:textId="77777777" w:rsidTr="003A69C2">
        <w:trPr>
          <w:trHeight w:val="50"/>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A" w14:textId="77777777" w:rsidR="000E3517" w:rsidRPr="003A69C2" w:rsidRDefault="000E3517" w:rsidP="003A69C2">
            <w:pPr>
              <w:spacing w:before="60" w:after="60"/>
              <w:rPr>
                <w:rFonts w:ascii="Arial" w:hAnsi="Arial" w:cs="Arial"/>
                <w:lang w:val="en-GB"/>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B"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No histology</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C" w14:textId="77777777" w:rsidR="000E3517" w:rsidRPr="003A69C2" w:rsidRDefault="008C4C90" w:rsidP="003A69C2">
            <w:pPr>
              <w:pStyle w:val="Body"/>
              <w:keepNext/>
              <w:spacing w:before="60" w:after="60"/>
              <w:ind w:left="0"/>
              <w:jc w:val="center"/>
              <w:rPr>
                <w:rFonts w:ascii="Arial" w:hAnsi="Arial" w:cs="Arial"/>
              </w:rPr>
            </w:pPr>
            <w:r w:rsidRPr="003A69C2">
              <w:rPr>
                <w:rStyle w:val="None"/>
                <w:rFonts w:ascii="Arial" w:hAnsi="Arial" w:cs="Arial"/>
                <w:b/>
                <w:bCs/>
              </w:rPr>
              <w:t>Histology outcome</w:t>
            </w:r>
          </w:p>
        </w:tc>
      </w:tr>
      <w:tr w:rsidR="000E3517" w:rsidRPr="003A69C2" w14:paraId="6C3071B4" w14:textId="77777777" w:rsidTr="003A69C2">
        <w:trPr>
          <w:trHeight w:val="543"/>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E" w14:textId="77777777" w:rsidR="000E3517" w:rsidRPr="003A69C2" w:rsidRDefault="000E3517" w:rsidP="003A69C2">
            <w:pPr>
              <w:spacing w:before="60" w:after="60"/>
              <w:rPr>
                <w:rFonts w:ascii="Arial" w:hAnsi="Arial" w:cs="Arial"/>
                <w:lang w:val="en-GB"/>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AF" w14:textId="77777777" w:rsidR="000E3517" w:rsidRPr="003A69C2" w:rsidRDefault="000E3517" w:rsidP="003A69C2">
            <w:pPr>
              <w:spacing w:before="60" w:after="60"/>
              <w:rPr>
                <w:rFonts w:ascii="Arial" w:hAnsi="Arial" w:cs="Arial"/>
                <w:lang w:val="en-GB"/>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0"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Non-neoplastic</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1"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Benign neoplasm</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2"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NIFTP</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3" w14:textId="77777777" w:rsidR="000E3517" w:rsidRPr="003A69C2" w:rsidRDefault="008C4C90" w:rsidP="003A69C2">
            <w:pPr>
              <w:pStyle w:val="Body"/>
              <w:keepNext/>
              <w:spacing w:before="60" w:after="60"/>
              <w:ind w:left="0"/>
              <w:jc w:val="center"/>
              <w:rPr>
                <w:rFonts w:ascii="Arial" w:hAnsi="Arial" w:cs="Arial"/>
              </w:rPr>
            </w:pPr>
            <w:r w:rsidRPr="003A69C2">
              <w:rPr>
                <w:rStyle w:val="None"/>
                <w:rFonts w:ascii="Arial" w:hAnsi="Arial" w:cs="Arial"/>
                <w:b/>
                <w:bCs/>
              </w:rPr>
              <w:t>Malignant neoplasm</w:t>
            </w:r>
          </w:p>
        </w:tc>
      </w:tr>
      <w:tr w:rsidR="000E3517" w:rsidRPr="003A69C2" w14:paraId="6C3071BE" w14:textId="77777777" w:rsidTr="003A69C2">
        <w:trPr>
          <w:trHeight w:val="50"/>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5" w14:textId="77777777" w:rsidR="000E3517" w:rsidRPr="003A69C2" w:rsidRDefault="000E3517" w:rsidP="003A69C2">
            <w:pPr>
              <w:spacing w:before="60" w:after="60"/>
              <w:rPr>
                <w:rFonts w:ascii="Arial" w:hAnsi="Arial" w:cs="Arial"/>
                <w:lang w:val="en-GB"/>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6" w14:textId="77777777" w:rsidR="000E3517" w:rsidRPr="003A69C2" w:rsidRDefault="000E3517" w:rsidP="003A69C2">
            <w:pPr>
              <w:spacing w:before="60" w:after="60"/>
              <w:rPr>
                <w:rFonts w:ascii="Arial" w:hAnsi="Arial" w:cs="Arial"/>
                <w:lang w:val="en-GB"/>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7" w14:textId="77777777" w:rsidR="000E3517" w:rsidRPr="003A69C2" w:rsidRDefault="000E3517" w:rsidP="003A69C2">
            <w:pPr>
              <w:spacing w:before="60" w:after="60"/>
              <w:rPr>
                <w:rFonts w:ascii="Arial" w:hAnsi="Arial" w:cs="Arial"/>
                <w:lang w:val="en-GB"/>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8" w14:textId="77777777" w:rsidR="000E3517" w:rsidRPr="003A69C2" w:rsidRDefault="000E3517" w:rsidP="003A69C2">
            <w:pPr>
              <w:spacing w:before="60" w:after="60"/>
              <w:rPr>
                <w:rFonts w:ascii="Arial" w:hAnsi="Arial" w:cs="Arial"/>
                <w:lang w:val="en-G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9"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A"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PTC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B"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FC</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C"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MTC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D"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b/>
                <w:bCs/>
              </w:rPr>
              <w:t>Other</w:t>
            </w:r>
          </w:p>
        </w:tc>
      </w:tr>
      <w:tr w:rsidR="000E3517" w:rsidRPr="003A69C2" w14:paraId="6C3071C8" w14:textId="77777777" w:rsidTr="003A69C2">
        <w:trPr>
          <w:trHeight w:val="20"/>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BF"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0"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1"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2"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3"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4"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5"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6"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7" w14:textId="77777777" w:rsidR="000E3517" w:rsidRPr="003A69C2" w:rsidRDefault="000E3517" w:rsidP="003A69C2">
            <w:pPr>
              <w:spacing w:before="60" w:after="60"/>
              <w:rPr>
                <w:rFonts w:ascii="Arial" w:hAnsi="Arial" w:cs="Arial"/>
                <w:lang w:val="en-GB"/>
              </w:rPr>
            </w:pPr>
          </w:p>
        </w:tc>
      </w:tr>
      <w:tr w:rsidR="000E3517" w:rsidRPr="003A69C2" w14:paraId="6C3071D2"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9"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Thy1c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A"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B"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C"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D"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E"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CF"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0"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1" w14:textId="77777777" w:rsidR="000E3517" w:rsidRPr="003A69C2" w:rsidRDefault="000E3517" w:rsidP="003A69C2">
            <w:pPr>
              <w:spacing w:before="60" w:after="60"/>
              <w:rPr>
                <w:rFonts w:ascii="Arial" w:hAnsi="Arial" w:cs="Arial"/>
                <w:lang w:val="en-GB"/>
              </w:rPr>
            </w:pPr>
          </w:p>
        </w:tc>
      </w:tr>
      <w:tr w:rsidR="000E3517" w:rsidRPr="003A69C2" w14:paraId="6C3071DC"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3"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4"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5"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6"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7"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8"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9"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A"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B" w14:textId="77777777" w:rsidR="000E3517" w:rsidRPr="003A69C2" w:rsidRDefault="000E3517" w:rsidP="003A69C2">
            <w:pPr>
              <w:spacing w:before="60" w:after="60"/>
              <w:rPr>
                <w:rFonts w:ascii="Arial" w:hAnsi="Arial" w:cs="Arial"/>
                <w:lang w:val="en-GB"/>
              </w:rPr>
            </w:pPr>
          </w:p>
        </w:tc>
      </w:tr>
      <w:tr w:rsidR="000E3517" w:rsidRPr="003A69C2" w14:paraId="6C3071E6"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D"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Thy2c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E"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DF"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0"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1"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2"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3"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4"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5" w14:textId="77777777" w:rsidR="000E3517" w:rsidRPr="003A69C2" w:rsidRDefault="000E3517" w:rsidP="003A69C2">
            <w:pPr>
              <w:spacing w:before="60" w:after="60"/>
              <w:rPr>
                <w:rFonts w:ascii="Arial" w:hAnsi="Arial" w:cs="Arial"/>
                <w:lang w:val="en-GB"/>
              </w:rPr>
            </w:pPr>
          </w:p>
        </w:tc>
      </w:tr>
      <w:tr w:rsidR="000E3517" w:rsidRPr="003A69C2" w14:paraId="6C3071F0"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7"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Thy3a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8"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9"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A"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B"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C"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D"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E"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EF" w14:textId="77777777" w:rsidR="000E3517" w:rsidRPr="003A69C2" w:rsidRDefault="000E3517" w:rsidP="003A69C2">
            <w:pPr>
              <w:spacing w:before="60" w:after="60"/>
              <w:rPr>
                <w:rFonts w:ascii="Arial" w:hAnsi="Arial" w:cs="Arial"/>
                <w:lang w:val="en-GB"/>
              </w:rPr>
            </w:pPr>
          </w:p>
        </w:tc>
      </w:tr>
      <w:tr w:rsidR="000E3517" w:rsidRPr="003A69C2" w14:paraId="6C3071FA"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1"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Thy3f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2"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3"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4"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5"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6"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7"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8"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9" w14:textId="77777777" w:rsidR="000E3517" w:rsidRPr="003A69C2" w:rsidRDefault="000E3517" w:rsidP="003A69C2">
            <w:pPr>
              <w:spacing w:before="60" w:after="60"/>
              <w:rPr>
                <w:rFonts w:ascii="Arial" w:hAnsi="Arial" w:cs="Arial"/>
                <w:lang w:val="en-GB"/>
              </w:rPr>
            </w:pPr>
          </w:p>
        </w:tc>
      </w:tr>
      <w:tr w:rsidR="000E3517" w:rsidRPr="003A69C2" w14:paraId="6C307204"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B"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C"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D"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E"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1FF"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0"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1"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2"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3" w14:textId="77777777" w:rsidR="000E3517" w:rsidRPr="003A69C2" w:rsidRDefault="000E3517" w:rsidP="003A69C2">
            <w:pPr>
              <w:spacing w:before="60" w:after="60"/>
              <w:rPr>
                <w:rFonts w:ascii="Arial" w:hAnsi="Arial" w:cs="Arial"/>
                <w:lang w:val="en-GB"/>
              </w:rPr>
            </w:pPr>
          </w:p>
        </w:tc>
      </w:tr>
      <w:tr w:rsidR="000E3517" w:rsidRPr="003A69C2" w14:paraId="6C30720E" w14:textId="77777777" w:rsidTr="003A69C2">
        <w:trPr>
          <w:trHeight w:val="24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5" w14:textId="77777777" w:rsidR="000E3517" w:rsidRPr="003A69C2" w:rsidRDefault="008C4C90" w:rsidP="003A69C2">
            <w:pPr>
              <w:pStyle w:val="Body"/>
              <w:keepNext/>
              <w:spacing w:before="60" w:after="60"/>
              <w:ind w:left="0"/>
              <w:jc w:val="left"/>
              <w:rPr>
                <w:rFonts w:ascii="Arial" w:hAnsi="Arial" w:cs="Arial"/>
              </w:rPr>
            </w:pPr>
            <w:r w:rsidRPr="003A69C2">
              <w:rPr>
                <w:rStyle w:val="None"/>
                <w:rFonts w:ascii="Arial" w:hAnsi="Arial" w:cs="Arial"/>
              </w:rPr>
              <w:t>Thy5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6" w14:textId="77777777" w:rsidR="000E3517" w:rsidRPr="003A69C2" w:rsidRDefault="000E3517" w:rsidP="003A69C2">
            <w:pPr>
              <w:spacing w:before="60" w:after="60"/>
              <w:rPr>
                <w:rFonts w:ascii="Arial" w:hAnsi="Arial" w:cs="Arial"/>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7" w14:textId="77777777" w:rsidR="000E3517" w:rsidRPr="003A69C2" w:rsidRDefault="000E3517" w:rsidP="003A69C2">
            <w:pPr>
              <w:spacing w:before="60" w:after="60"/>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8"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9"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A"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B" w14:textId="77777777" w:rsidR="000E3517" w:rsidRPr="003A69C2" w:rsidRDefault="000E3517" w:rsidP="003A69C2">
            <w:pPr>
              <w:spacing w:before="60" w:after="60"/>
              <w:rPr>
                <w:rFonts w:ascii="Arial" w:hAnsi="Arial" w:cs="Arial"/>
                <w:lang w:val="en-G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C" w14:textId="77777777" w:rsidR="000E3517" w:rsidRPr="003A69C2" w:rsidRDefault="000E3517" w:rsidP="003A69C2">
            <w:pPr>
              <w:spacing w:before="60" w:after="60"/>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0D" w14:textId="77777777" w:rsidR="000E3517" w:rsidRPr="003A69C2" w:rsidRDefault="000E3517" w:rsidP="003A69C2">
            <w:pPr>
              <w:spacing w:before="60" w:after="60"/>
              <w:rPr>
                <w:rFonts w:ascii="Arial" w:hAnsi="Arial" w:cs="Arial"/>
                <w:lang w:val="en-GB"/>
              </w:rPr>
            </w:pPr>
          </w:p>
        </w:tc>
      </w:tr>
    </w:tbl>
    <w:p w14:paraId="6C30720F" w14:textId="77777777" w:rsidR="000E3517" w:rsidRPr="003A69C2" w:rsidRDefault="000E3517">
      <w:pPr>
        <w:pStyle w:val="Body"/>
        <w:keepNext/>
        <w:widowControl w:val="0"/>
        <w:ind w:left="113" w:hanging="113"/>
        <w:jc w:val="left"/>
        <w:rPr>
          <w:rStyle w:val="None"/>
          <w:rFonts w:ascii="Arial" w:eastAsia="Arial" w:hAnsi="Arial" w:cs="Arial"/>
          <w:sz w:val="24"/>
          <w:szCs w:val="24"/>
        </w:rPr>
      </w:pPr>
    </w:p>
    <w:p w14:paraId="6C307210" w14:textId="77777777" w:rsidR="000E3517" w:rsidRPr="003A69C2" w:rsidRDefault="008C4C90" w:rsidP="003A69C2">
      <w:pPr>
        <w:pStyle w:val="Body"/>
        <w:keepNext/>
        <w:ind w:left="0"/>
        <w:jc w:val="left"/>
        <w:rPr>
          <w:rStyle w:val="None"/>
          <w:rFonts w:ascii="Arial" w:eastAsia="Arial" w:hAnsi="Arial" w:cs="Arial"/>
        </w:rPr>
      </w:pPr>
      <w:r w:rsidRPr="003A69C2">
        <w:rPr>
          <w:rStyle w:val="None"/>
          <w:rFonts w:ascii="Arial" w:hAnsi="Arial" w:cs="Arial"/>
        </w:rPr>
        <w:t>FC: follicular carcinoma; MTC: medullary thyroid carcinoma; NIFTP: non-invasive follicular thyroid neoplasm with papillary-like nuclei; PTC: papillary thyroid carcinoma.</w:t>
      </w:r>
    </w:p>
    <w:p w14:paraId="6C307211" w14:textId="77777777" w:rsidR="000E3517" w:rsidRPr="003A69C2" w:rsidRDefault="000E3517">
      <w:pPr>
        <w:pStyle w:val="Body"/>
        <w:keepNext/>
        <w:ind w:left="0"/>
        <w:jc w:val="left"/>
        <w:rPr>
          <w:rStyle w:val="None"/>
          <w:rFonts w:ascii="Arial" w:eastAsia="Arial" w:hAnsi="Arial" w:cs="Arial"/>
          <w:b/>
          <w:bCs/>
          <w:sz w:val="24"/>
          <w:szCs w:val="24"/>
        </w:rPr>
      </w:pPr>
    </w:p>
    <w:p w14:paraId="6C307212" w14:textId="77777777" w:rsidR="000E3517" w:rsidRPr="003A69C2" w:rsidRDefault="000E3517">
      <w:pPr>
        <w:pStyle w:val="Body"/>
        <w:keepNext/>
        <w:ind w:left="0"/>
        <w:jc w:val="left"/>
        <w:rPr>
          <w:rStyle w:val="None"/>
          <w:rFonts w:ascii="Arial" w:eastAsia="Arial" w:hAnsi="Arial" w:cs="Arial"/>
          <w:b/>
          <w:bCs/>
          <w:sz w:val="24"/>
          <w:szCs w:val="24"/>
        </w:rPr>
      </w:pPr>
    </w:p>
    <w:p w14:paraId="6C307213" w14:textId="77777777" w:rsidR="000E3517" w:rsidRPr="003A69C2" w:rsidRDefault="000E3517">
      <w:pPr>
        <w:pStyle w:val="Body"/>
        <w:keepNext/>
        <w:ind w:left="0"/>
        <w:jc w:val="left"/>
        <w:rPr>
          <w:rStyle w:val="None"/>
          <w:rFonts w:ascii="Arial" w:eastAsia="Arial" w:hAnsi="Arial" w:cs="Arial"/>
          <w:b/>
          <w:bCs/>
          <w:sz w:val="24"/>
          <w:szCs w:val="24"/>
        </w:rPr>
      </w:pPr>
    </w:p>
    <w:p w14:paraId="6C307214" w14:textId="77777777" w:rsidR="000E3517" w:rsidRPr="003A69C2" w:rsidRDefault="000E3517">
      <w:pPr>
        <w:pStyle w:val="Body"/>
        <w:keepNext/>
        <w:ind w:left="0"/>
        <w:jc w:val="left"/>
        <w:rPr>
          <w:rStyle w:val="None"/>
          <w:rFonts w:ascii="Arial" w:eastAsia="Arial" w:hAnsi="Arial" w:cs="Arial"/>
          <w:b/>
          <w:bCs/>
          <w:sz w:val="24"/>
          <w:szCs w:val="24"/>
        </w:rPr>
      </w:pPr>
    </w:p>
    <w:p w14:paraId="6C307215" w14:textId="77777777" w:rsidR="000E3517" w:rsidRPr="003A69C2" w:rsidRDefault="000E3517">
      <w:pPr>
        <w:pStyle w:val="Body"/>
        <w:keepNext/>
        <w:ind w:left="0"/>
        <w:jc w:val="left"/>
        <w:rPr>
          <w:rStyle w:val="None"/>
          <w:rFonts w:ascii="Arial" w:eastAsia="Arial" w:hAnsi="Arial" w:cs="Arial"/>
          <w:b/>
          <w:bCs/>
          <w:sz w:val="24"/>
          <w:szCs w:val="24"/>
        </w:rPr>
      </w:pPr>
    </w:p>
    <w:p w14:paraId="6C307216" w14:textId="77777777" w:rsidR="000E3517" w:rsidRPr="003A69C2" w:rsidRDefault="000E3517">
      <w:pPr>
        <w:pStyle w:val="Body"/>
        <w:keepNext/>
        <w:ind w:left="0"/>
        <w:jc w:val="left"/>
        <w:rPr>
          <w:rStyle w:val="None"/>
          <w:rFonts w:ascii="Arial" w:eastAsia="Arial" w:hAnsi="Arial" w:cs="Arial"/>
          <w:b/>
          <w:bCs/>
          <w:sz w:val="24"/>
          <w:szCs w:val="24"/>
        </w:rPr>
      </w:pPr>
    </w:p>
    <w:p w14:paraId="6C307217" w14:textId="77777777" w:rsidR="000E3517" w:rsidRPr="003A69C2" w:rsidRDefault="000E3517">
      <w:pPr>
        <w:pStyle w:val="Body"/>
        <w:keepNext/>
        <w:ind w:left="0"/>
        <w:jc w:val="left"/>
        <w:rPr>
          <w:rStyle w:val="None"/>
          <w:rFonts w:ascii="Arial" w:eastAsia="Arial" w:hAnsi="Arial" w:cs="Arial"/>
          <w:b/>
          <w:bCs/>
          <w:sz w:val="24"/>
          <w:szCs w:val="24"/>
        </w:rPr>
      </w:pPr>
    </w:p>
    <w:p w14:paraId="6C307218" w14:textId="77777777" w:rsidR="000E3517" w:rsidRPr="003A69C2" w:rsidRDefault="000E3517">
      <w:pPr>
        <w:pStyle w:val="Body"/>
        <w:keepNext/>
        <w:ind w:left="0"/>
        <w:jc w:val="left"/>
        <w:rPr>
          <w:rStyle w:val="None"/>
          <w:rFonts w:ascii="Arial" w:eastAsia="Arial" w:hAnsi="Arial" w:cs="Arial"/>
          <w:b/>
          <w:bCs/>
          <w:sz w:val="24"/>
          <w:szCs w:val="24"/>
        </w:rPr>
      </w:pPr>
    </w:p>
    <w:p w14:paraId="6C307219" w14:textId="77777777" w:rsidR="000E3517" w:rsidRPr="003A69C2" w:rsidRDefault="000E3517">
      <w:pPr>
        <w:pStyle w:val="Body"/>
        <w:keepNext/>
        <w:ind w:left="0"/>
        <w:jc w:val="left"/>
        <w:rPr>
          <w:rStyle w:val="None"/>
          <w:rFonts w:ascii="Arial" w:eastAsia="Arial" w:hAnsi="Arial" w:cs="Arial"/>
          <w:b/>
          <w:bCs/>
          <w:sz w:val="24"/>
          <w:szCs w:val="24"/>
        </w:rPr>
      </w:pPr>
    </w:p>
    <w:p w14:paraId="6C30721A" w14:textId="77777777" w:rsidR="000E3517" w:rsidRPr="003A69C2" w:rsidRDefault="008C4C90">
      <w:pPr>
        <w:pStyle w:val="Body"/>
        <w:spacing w:after="200" w:line="276" w:lineRule="auto"/>
        <w:ind w:left="0"/>
        <w:jc w:val="left"/>
        <w:rPr>
          <w:rFonts w:ascii="Arial" w:hAnsi="Arial" w:cs="Arial"/>
        </w:rPr>
      </w:pPr>
      <w:r w:rsidRPr="003A69C2">
        <w:rPr>
          <w:rStyle w:val="None"/>
          <w:rFonts w:ascii="Arial" w:hAnsi="Arial" w:cs="Arial"/>
          <w:sz w:val="24"/>
          <w:szCs w:val="24"/>
        </w:rPr>
        <w:br w:type="page"/>
      </w:r>
    </w:p>
    <w:tbl>
      <w:tblPr>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3"/>
        <w:gridCol w:w="1276"/>
        <w:gridCol w:w="992"/>
        <w:gridCol w:w="1275"/>
        <w:gridCol w:w="1417"/>
        <w:gridCol w:w="1275"/>
        <w:gridCol w:w="1525"/>
      </w:tblGrid>
      <w:tr w:rsidR="000E3517" w:rsidRPr="003A69C2" w14:paraId="6C30721D" w14:textId="77777777" w:rsidTr="003A69C2">
        <w:trPr>
          <w:trHeight w:val="475"/>
        </w:trPr>
        <w:tc>
          <w:tcPr>
            <w:tcW w:w="985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1B" w14:textId="77777777" w:rsidR="000E3517" w:rsidRPr="003A69C2" w:rsidRDefault="008C4C90" w:rsidP="003A69C2">
            <w:pPr>
              <w:pStyle w:val="Body"/>
              <w:spacing w:before="60" w:after="120"/>
              <w:ind w:left="0"/>
              <w:rPr>
                <w:rStyle w:val="None"/>
                <w:rFonts w:ascii="Arial" w:eastAsia="Arial" w:hAnsi="Arial" w:cs="Arial"/>
                <w:b/>
                <w:bCs/>
              </w:rPr>
            </w:pPr>
            <w:r w:rsidRPr="003A69C2">
              <w:rPr>
                <w:rStyle w:val="None"/>
                <w:rFonts w:ascii="Arial" w:hAnsi="Arial" w:cs="Arial"/>
                <w:b/>
                <w:bCs/>
              </w:rPr>
              <w:lastRenderedPageBreak/>
              <w:t>Audit action plan</w:t>
            </w:r>
          </w:p>
          <w:p w14:paraId="6C30721C" w14:textId="77777777" w:rsidR="000E3517" w:rsidRPr="003A69C2" w:rsidRDefault="008C4C90">
            <w:pPr>
              <w:pStyle w:val="Body"/>
              <w:spacing w:after="120"/>
              <w:ind w:left="0"/>
              <w:rPr>
                <w:rFonts w:ascii="Arial" w:hAnsi="Arial" w:cs="Arial"/>
              </w:rPr>
            </w:pPr>
            <w:r w:rsidRPr="003A69C2">
              <w:rPr>
                <w:rStyle w:val="None"/>
                <w:rFonts w:ascii="Arial" w:hAnsi="Arial" w:cs="Arial"/>
              </w:rPr>
              <w:t>An audit of reporting of thyroid cytology specimens and their</w:t>
            </w:r>
            <w:r w:rsidRPr="003A69C2">
              <w:rPr>
                <w:rStyle w:val="None"/>
                <w:rFonts w:ascii="Arial" w:hAnsi="Arial" w:cs="Arial"/>
                <w:color w:val="FF0000"/>
                <w:u w:color="FF0000"/>
              </w:rPr>
              <w:t xml:space="preserve"> </w:t>
            </w:r>
            <w:r w:rsidRPr="003A69C2">
              <w:rPr>
                <w:rStyle w:val="None"/>
                <w:rFonts w:ascii="Arial" w:hAnsi="Arial" w:cs="Arial"/>
              </w:rPr>
              <w:t>correlation with thyroid histology</w:t>
            </w:r>
          </w:p>
        </w:tc>
      </w:tr>
      <w:tr w:rsidR="000E3517" w:rsidRPr="003A69C2" w14:paraId="6C307225" w14:textId="77777777" w:rsidTr="003A69C2">
        <w:trPr>
          <w:trHeight w:val="78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1E" w14:textId="77777777" w:rsidR="000E3517" w:rsidRPr="003A69C2" w:rsidRDefault="008C4C90">
            <w:pPr>
              <w:pStyle w:val="Body"/>
              <w:spacing w:before="60" w:after="60"/>
              <w:ind w:left="0"/>
              <w:rPr>
                <w:rFonts w:ascii="Arial" w:hAnsi="Arial" w:cs="Arial"/>
              </w:rPr>
            </w:pPr>
            <w:r w:rsidRPr="003A69C2">
              <w:rPr>
                <w:rStyle w:val="None"/>
                <w:rFonts w:ascii="Arial" w:hAnsi="Arial" w:cs="Arial"/>
                <w:b/>
                <w:bCs/>
              </w:rPr>
              <w:t>Audit recommendation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1F" w14:textId="77777777" w:rsidR="000E3517" w:rsidRPr="003A69C2" w:rsidRDefault="008C4C90">
            <w:pPr>
              <w:pStyle w:val="Body"/>
              <w:spacing w:before="60" w:after="60"/>
              <w:ind w:left="0"/>
              <w:jc w:val="left"/>
              <w:rPr>
                <w:rFonts w:ascii="Arial" w:hAnsi="Arial" w:cs="Arial"/>
              </w:rPr>
            </w:pPr>
            <w:r w:rsidRPr="003A69C2">
              <w:rPr>
                <w:rStyle w:val="None"/>
                <w:rFonts w:ascii="Arial" w:hAnsi="Arial" w:cs="Arial"/>
                <w:b/>
                <w:bCs/>
              </w:rPr>
              <w:t>Objective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0" w14:textId="77777777" w:rsidR="000E3517" w:rsidRPr="003A69C2" w:rsidRDefault="008C4C90">
            <w:pPr>
              <w:pStyle w:val="Body"/>
              <w:spacing w:before="60" w:after="60"/>
              <w:ind w:left="0"/>
              <w:rPr>
                <w:rFonts w:ascii="Arial" w:hAnsi="Arial" w:cs="Arial"/>
              </w:rPr>
            </w:pPr>
            <w:r w:rsidRPr="003A69C2">
              <w:rPr>
                <w:rStyle w:val="None"/>
                <w:rFonts w:ascii="Arial" w:hAnsi="Arial" w:cs="Arial"/>
                <w:b/>
                <w:bCs/>
              </w:rPr>
              <w:t>Action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1" w14:textId="77777777" w:rsidR="000E3517" w:rsidRPr="003A69C2" w:rsidRDefault="008C4C90">
            <w:pPr>
              <w:pStyle w:val="Body"/>
              <w:spacing w:before="60" w:after="60"/>
              <w:ind w:left="0"/>
              <w:jc w:val="left"/>
              <w:rPr>
                <w:rFonts w:ascii="Arial" w:hAnsi="Arial" w:cs="Arial"/>
              </w:rPr>
            </w:pPr>
            <w:r w:rsidRPr="003A69C2">
              <w:rPr>
                <w:rStyle w:val="None"/>
                <w:rFonts w:ascii="Arial" w:hAnsi="Arial" w:cs="Arial"/>
                <w:b/>
                <w:bCs/>
              </w:rPr>
              <w:t>Time scale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2" w14:textId="77777777" w:rsidR="000E3517" w:rsidRPr="003A69C2" w:rsidRDefault="008C4C90">
            <w:pPr>
              <w:pStyle w:val="Body"/>
              <w:spacing w:before="60" w:after="60"/>
              <w:ind w:left="0"/>
              <w:jc w:val="left"/>
              <w:rPr>
                <w:rFonts w:ascii="Arial" w:hAnsi="Arial" w:cs="Arial"/>
              </w:rPr>
            </w:pPr>
            <w:r w:rsidRPr="003A69C2">
              <w:rPr>
                <w:rStyle w:val="None"/>
                <w:rFonts w:ascii="Arial" w:hAnsi="Arial" w:cs="Arial"/>
                <w:b/>
                <w:bCs/>
              </w:rPr>
              <w:t>Barriers and constraints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3" w14:textId="77777777" w:rsidR="000E3517" w:rsidRPr="003A69C2" w:rsidRDefault="008C4C90">
            <w:pPr>
              <w:pStyle w:val="Body"/>
              <w:spacing w:before="60" w:after="60"/>
              <w:ind w:left="0"/>
              <w:jc w:val="left"/>
              <w:rPr>
                <w:rFonts w:ascii="Arial" w:hAnsi="Arial" w:cs="Arial"/>
              </w:rPr>
            </w:pPr>
            <w:r w:rsidRPr="003A69C2">
              <w:rPr>
                <w:rStyle w:val="None"/>
                <w:rFonts w:ascii="Arial" w:hAnsi="Arial" w:cs="Arial"/>
                <w:b/>
                <w:bCs/>
              </w:rPr>
              <w:t>Outcome</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4" w14:textId="77777777" w:rsidR="000E3517" w:rsidRPr="003A69C2" w:rsidRDefault="008C4C90">
            <w:pPr>
              <w:pStyle w:val="Body"/>
              <w:spacing w:before="60" w:after="60"/>
              <w:ind w:left="0"/>
              <w:jc w:val="left"/>
              <w:rPr>
                <w:rFonts w:ascii="Arial" w:hAnsi="Arial" w:cs="Arial"/>
              </w:rPr>
            </w:pPr>
            <w:r w:rsidRPr="003A69C2">
              <w:rPr>
                <w:rStyle w:val="None"/>
                <w:rFonts w:ascii="Arial" w:hAnsi="Arial" w:cs="Arial"/>
                <w:b/>
                <w:bCs/>
              </w:rPr>
              <w:t>Monitoring</w:t>
            </w:r>
          </w:p>
        </w:tc>
      </w:tr>
      <w:tr w:rsidR="000E3517" w:rsidRPr="003A69C2" w14:paraId="6C30722E"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6" w14:textId="77777777" w:rsidR="000E3517" w:rsidRPr="003A69C2" w:rsidRDefault="000E3517">
            <w:pPr>
              <w:pStyle w:val="Body"/>
              <w:ind w:left="0"/>
              <w:rPr>
                <w:rStyle w:val="None"/>
                <w:rFonts w:ascii="Arial" w:eastAsia="Arial" w:hAnsi="Arial" w:cs="Arial"/>
              </w:rPr>
            </w:pPr>
          </w:p>
          <w:p w14:paraId="6C307227"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8"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9"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A"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B"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C"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D" w14:textId="77777777" w:rsidR="000E3517" w:rsidRPr="003A69C2" w:rsidRDefault="000E3517">
            <w:pPr>
              <w:rPr>
                <w:rFonts w:ascii="Arial" w:hAnsi="Arial" w:cs="Arial"/>
                <w:lang w:val="en-GB"/>
              </w:rPr>
            </w:pPr>
          </w:p>
        </w:tc>
      </w:tr>
      <w:tr w:rsidR="000E3517" w:rsidRPr="003A69C2" w14:paraId="6C307237"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2F" w14:textId="77777777" w:rsidR="000E3517" w:rsidRPr="003A69C2" w:rsidRDefault="000E3517">
            <w:pPr>
              <w:pStyle w:val="Body"/>
              <w:ind w:left="0"/>
              <w:rPr>
                <w:rStyle w:val="None"/>
                <w:rFonts w:ascii="Arial" w:eastAsia="Arial" w:hAnsi="Arial" w:cs="Arial"/>
              </w:rPr>
            </w:pPr>
          </w:p>
          <w:p w14:paraId="6C307230"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1"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2"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3"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4"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5"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6" w14:textId="77777777" w:rsidR="000E3517" w:rsidRPr="003A69C2" w:rsidRDefault="000E3517">
            <w:pPr>
              <w:rPr>
                <w:rFonts w:ascii="Arial" w:hAnsi="Arial" w:cs="Arial"/>
                <w:lang w:val="en-GB"/>
              </w:rPr>
            </w:pPr>
          </w:p>
        </w:tc>
      </w:tr>
      <w:tr w:rsidR="000E3517" w:rsidRPr="003A69C2" w14:paraId="6C307240"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8" w14:textId="77777777" w:rsidR="000E3517" w:rsidRPr="003A69C2" w:rsidRDefault="000E3517">
            <w:pPr>
              <w:pStyle w:val="Body"/>
              <w:ind w:left="0"/>
              <w:rPr>
                <w:rStyle w:val="None"/>
                <w:rFonts w:ascii="Arial" w:eastAsia="Arial" w:hAnsi="Arial" w:cs="Arial"/>
              </w:rPr>
            </w:pPr>
          </w:p>
          <w:p w14:paraId="6C307239"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A"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B"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C"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D"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E"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3F" w14:textId="77777777" w:rsidR="000E3517" w:rsidRPr="003A69C2" w:rsidRDefault="000E3517">
            <w:pPr>
              <w:rPr>
                <w:rFonts w:ascii="Arial" w:hAnsi="Arial" w:cs="Arial"/>
                <w:lang w:val="en-GB"/>
              </w:rPr>
            </w:pPr>
          </w:p>
        </w:tc>
      </w:tr>
      <w:tr w:rsidR="000E3517" w:rsidRPr="003A69C2" w14:paraId="6C307249"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1" w14:textId="77777777" w:rsidR="000E3517" w:rsidRPr="003A69C2" w:rsidRDefault="000E3517">
            <w:pPr>
              <w:pStyle w:val="Body"/>
              <w:ind w:left="0"/>
              <w:rPr>
                <w:rStyle w:val="None"/>
                <w:rFonts w:ascii="Arial" w:eastAsia="Arial" w:hAnsi="Arial" w:cs="Arial"/>
              </w:rPr>
            </w:pPr>
          </w:p>
          <w:p w14:paraId="6C307242"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3"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4"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5"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6"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7"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8" w14:textId="77777777" w:rsidR="000E3517" w:rsidRPr="003A69C2" w:rsidRDefault="000E3517">
            <w:pPr>
              <w:rPr>
                <w:rFonts w:ascii="Arial" w:hAnsi="Arial" w:cs="Arial"/>
                <w:lang w:val="en-GB"/>
              </w:rPr>
            </w:pPr>
          </w:p>
        </w:tc>
      </w:tr>
      <w:tr w:rsidR="000E3517" w:rsidRPr="003A69C2" w14:paraId="6C307252"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A" w14:textId="77777777" w:rsidR="000E3517" w:rsidRPr="003A69C2" w:rsidRDefault="000E3517">
            <w:pPr>
              <w:pStyle w:val="Body"/>
              <w:ind w:left="0"/>
              <w:rPr>
                <w:rStyle w:val="None"/>
                <w:rFonts w:ascii="Arial" w:eastAsia="Arial" w:hAnsi="Arial" w:cs="Arial"/>
              </w:rPr>
            </w:pPr>
          </w:p>
          <w:p w14:paraId="6C30724B"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C"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D"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E"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4F"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0"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1" w14:textId="77777777" w:rsidR="000E3517" w:rsidRPr="003A69C2" w:rsidRDefault="000E3517">
            <w:pPr>
              <w:rPr>
                <w:rFonts w:ascii="Arial" w:hAnsi="Arial" w:cs="Arial"/>
                <w:lang w:val="en-GB"/>
              </w:rPr>
            </w:pPr>
          </w:p>
        </w:tc>
      </w:tr>
      <w:tr w:rsidR="000E3517" w:rsidRPr="003A69C2" w14:paraId="6C30725B"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3" w14:textId="77777777" w:rsidR="000E3517" w:rsidRPr="003A69C2" w:rsidRDefault="000E3517">
            <w:pPr>
              <w:pStyle w:val="Body"/>
              <w:ind w:left="0"/>
              <w:rPr>
                <w:rStyle w:val="None"/>
                <w:rFonts w:ascii="Arial" w:eastAsia="Arial" w:hAnsi="Arial" w:cs="Arial"/>
              </w:rPr>
            </w:pPr>
          </w:p>
          <w:p w14:paraId="6C307254"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5"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6"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7"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8"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9"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A" w14:textId="77777777" w:rsidR="000E3517" w:rsidRPr="003A69C2" w:rsidRDefault="000E3517">
            <w:pPr>
              <w:rPr>
                <w:rFonts w:ascii="Arial" w:hAnsi="Arial" w:cs="Arial"/>
                <w:lang w:val="en-GB"/>
              </w:rPr>
            </w:pPr>
          </w:p>
        </w:tc>
      </w:tr>
      <w:tr w:rsidR="000E3517" w:rsidRPr="003A69C2" w14:paraId="6C307264"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C" w14:textId="77777777" w:rsidR="000E3517" w:rsidRPr="003A69C2" w:rsidRDefault="000E3517">
            <w:pPr>
              <w:pStyle w:val="Body"/>
              <w:ind w:left="0"/>
              <w:rPr>
                <w:rStyle w:val="None"/>
                <w:rFonts w:ascii="Arial" w:eastAsia="Arial" w:hAnsi="Arial" w:cs="Arial"/>
              </w:rPr>
            </w:pPr>
          </w:p>
          <w:p w14:paraId="6C30725D"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E"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5F"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0"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1"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2"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3" w14:textId="77777777" w:rsidR="000E3517" w:rsidRPr="003A69C2" w:rsidRDefault="000E3517">
            <w:pPr>
              <w:rPr>
                <w:rFonts w:ascii="Arial" w:hAnsi="Arial" w:cs="Arial"/>
                <w:lang w:val="en-GB"/>
              </w:rPr>
            </w:pPr>
          </w:p>
        </w:tc>
      </w:tr>
      <w:tr w:rsidR="000E3517" w:rsidRPr="003A69C2" w14:paraId="6C30726D"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5" w14:textId="77777777" w:rsidR="000E3517" w:rsidRPr="003A69C2" w:rsidRDefault="000E3517">
            <w:pPr>
              <w:pStyle w:val="Body"/>
              <w:ind w:left="0"/>
              <w:rPr>
                <w:rStyle w:val="None"/>
                <w:rFonts w:ascii="Arial" w:eastAsia="Arial" w:hAnsi="Arial" w:cs="Arial"/>
              </w:rPr>
            </w:pPr>
          </w:p>
          <w:p w14:paraId="6C307266"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7"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8"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9"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A"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B"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C" w14:textId="77777777" w:rsidR="000E3517" w:rsidRPr="003A69C2" w:rsidRDefault="000E3517">
            <w:pPr>
              <w:rPr>
                <w:rFonts w:ascii="Arial" w:hAnsi="Arial" w:cs="Arial"/>
                <w:lang w:val="en-GB"/>
              </w:rPr>
            </w:pPr>
          </w:p>
        </w:tc>
      </w:tr>
      <w:tr w:rsidR="000E3517" w:rsidRPr="003A69C2" w14:paraId="6C307276"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6E" w14:textId="77777777" w:rsidR="000E3517" w:rsidRPr="003A69C2" w:rsidRDefault="000E3517">
            <w:pPr>
              <w:pStyle w:val="Body"/>
              <w:ind w:left="0"/>
              <w:rPr>
                <w:rStyle w:val="None"/>
                <w:rFonts w:ascii="Arial" w:eastAsia="Arial" w:hAnsi="Arial" w:cs="Arial"/>
              </w:rPr>
            </w:pPr>
          </w:p>
          <w:p w14:paraId="6C30726F"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0"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1"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2"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3"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4"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5" w14:textId="77777777" w:rsidR="000E3517" w:rsidRPr="003A69C2" w:rsidRDefault="000E3517">
            <w:pPr>
              <w:rPr>
                <w:rFonts w:ascii="Arial" w:hAnsi="Arial" w:cs="Arial"/>
                <w:lang w:val="en-GB"/>
              </w:rPr>
            </w:pPr>
          </w:p>
        </w:tc>
      </w:tr>
      <w:tr w:rsidR="000E3517" w:rsidRPr="003A69C2" w14:paraId="6C30727F"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7" w14:textId="77777777" w:rsidR="000E3517" w:rsidRPr="003A69C2" w:rsidRDefault="000E3517">
            <w:pPr>
              <w:pStyle w:val="Body"/>
              <w:ind w:left="0"/>
              <w:rPr>
                <w:rStyle w:val="None"/>
                <w:rFonts w:ascii="Arial" w:eastAsia="Arial" w:hAnsi="Arial" w:cs="Arial"/>
              </w:rPr>
            </w:pPr>
          </w:p>
          <w:p w14:paraId="6C307278"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9"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A"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B"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C"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D"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7E" w14:textId="77777777" w:rsidR="000E3517" w:rsidRPr="003A69C2" w:rsidRDefault="000E3517">
            <w:pPr>
              <w:rPr>
                <w:rFonts w:ascii="Arial" w:hAnsi="Arial" w:cs="Arial"/>
                <w:lang w:val="en-GB"/>
              </w:rPr>
            </w:pPr>
          </w:p>
        </w:tc>
      </w:tr>
      <w:tr w:rsidR="000E3517" w:rsidRPr="003A69C2" w14:paraId="6C307288"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0" w14:textId="77777777" w:rsidR="000E3517" w:rsidRPr="003A69C2" w:rsidRDefault="000E3517">
            <w:pPr>
              <w:pStyle w:val="Body"/>
              <w:ind w:left="0"/>
              <w:rPr>
                <w:rStyle w:val="None"/>
                <w:rFonts w:ascii="Arial" w:eastAsia="Arial" w:hAnsi="Arial" w:cs="Arial"/>
              </w:rPr>
            </w:pPr>
          </w:p>
          <w:p w14:paraId="6C307281"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2"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3"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4"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5"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6"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7" w14:textId="77777777" w:rsidR="000E3517" w:rsidRPr="003A69C2" w:rsidRDefault="000E3517">
            <w:pPr>
              <w:rPr>
                <w:rFonts w:ascii="Arial" w:hAnsi="Arial" w:cs="Arial"/>
                <w:lang w:val="en-GB"/>
              </w:rPr>
            </w:pPr>
          </w:p>
        </w:tc>
      </w:tr>
      <w:tr w:rsidR="000E3517" w:rsidRPr="003A69C2" w14:paraId="6C307291"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9" w14:textId="77777777" w:rsidR="000E3517" w:rsidRPr="003A69C2" w:rsidRDefault="000E3517">
            <w:pPr>
              <w:pStyle w:val="Body"/>
              <w:ind w:left="0"/>
              <w:rPr>
                <w:rStyle w:val="None"/>
                <w:rFonts w:ascii="Arial" w:eastAsia="Arial" w:hAnsi="Arial" w:cs="Arial"/>
              </w:rPr>
            </w:pPr>
          </w:p>
          <w:p w14:paraId="6C30728A"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B"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C"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D"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E"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8F"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0" w14:textId="77777777" w:rsidR="000E3517" w:rsidRPr="003A69C2" w:rsidRDefault="000E3517">
            <w:pPr>
              <w:rPr>
                <w:rFonts w:ascii="Arial" w:hAnsi="Arial" w:cs="Arial"/>
                <w:lang w:val="en-GB"/>
              </w:rPr>
            </w:pPr>
          </w:p>
        </w:tc>
      </w:tr>
      <w:tr w:rsidR="000E3517" w:rsidRPr="003A69C2" w14:paraId="6C30729A" w14:textId="77777777" w:rsidTr="003A69C2">
        <w:trPr>
          <w:trHeight w:val="72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2" w14:textId="77777777" w:rsidR="000E3517" w:rsidRPr="003A69C2" w:rsidRDefault="000E3517">
            <w:pPr>
              <w:pStyle w:val="Body"/>
              <w:ind w:left="0"/>
              <w:rPr>
                <w:rStyle w:val="None"/>
                <w:rFonts w:ascii="Arial" w:eastAsia="Arial" w:hAnsi="Arial" w:cs="Arial"/>
              </w:rPr>
            </w:pPr>
          </w:p>
          <w:p w14:paraId="6C307293" w14:textId="77777777" w:rsidR="000E3517" w:rsidRPr="003A69C2" w:rsidRDefault="000E3517">
            <w:pPr>
              <w:pStyle w:val="Body"/>
              <w:ind w:left="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4" w14:textId="77777777" w:rsidR="000E3517" w:rsidRPr="003A69C2" w:rsidRDefault="000E3517">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5"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6" w14:textId="77777777" w:rsidR="000E3517" w:rsidRPr="003A69C2" w:rsidRDefault="000E3517">
            <w:pPr>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7" w14:textId="77777777" w:rsidR="000E3517" w:rsidRPr="003A69C2" w:rsidRDefault="000E3517">
            <w:pPr>
              <w:rPr>
                <w:rFonts w:ascii="Arial" w:hAnsi="Arial" w:cs="Arial"/>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8" w14:textId="77777777" w:rsidR="000E3517" w:rsidRPr="003A69C2" w:rsidRDefault="000E3517">
            <w:pPr>
              <w:rPr>
                <w:rFonts w:ascii="Arial" w:hAnsi="Arial" w:cs="Arial"/>
                <w:lang w:val="en-GB"/>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13" w:type="dxa"/>
            </w:tcMar>
          </w:tcPr>
          <w:p w14:paraId="6C307299" w14:textId="77777777" w:rsidR="000E3517" w:rsidRPr="003A69C2" w:rsidRDefault="000E3517">
            <w:pPr>
              <w:rPr>
                <w:rFonts w:ascii="Arial" w:hAnsi="Arial" w:cs="Arial"/>
                <w:lang w:val="en-GB"/>
              </w:rPr>
            </w:pPr>
          </w:p>
        </w:tc>
      </w:tr>
    </w:tbl>
    <w:p w14:paraId="6C3072A5" w14:textId="77777777" w:rsidR="000E3517" w:rsidRPr="003A69C2" w:rsidRDefault="000E3517">
      <w:pPr>
        <w:pStyle w:val="Body"/>
        <w:ind w:left="0"/>
        <w:rPr>
          <w:rFonts w:ascii="Arial" w:hAnsi="Arial" w:cs="Arial"/>
        </w:rPr>
      </w:pPr>
    </w:p>
    <w:sectPr w:rsidR="000E3517" w:rsidRPr="003A69C2" w:rsidSect="003A69C2">
      <w:headerReference w:type="default" r:id="rId14"/>
      <w:footerReference w:type="even" r:id="rId15"/>
      <w:footerReference w:type="default" r:id="rId16"/>
      <w:headerReference w:type="first" r:id="rId17"/>
      <w:footerReference w:type="first" r:id="rId18"/>
      <w:pgSz w:w="11900" w:h="16840"/>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1F54" w14:textId="77777777" w:rsidR="0023115C" w:rsidRDefault="0023115C">
      <w:r>
        <w:separator/>
      </w:r>
    </w:p>
  </w:endnote>
  <w:endnote w:type="continuationSeparator" w:id="0">
    <w:p w14:paraId="5C83B5C8" w14:textId="77777777" w:rsidR="0023115C" w:rsidRDefault="0023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C870" w14:textId="1C05B7BE" w:rsidR="00182234" w:rsidRDefault="00182234" w:rsidP="0018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2B3" w14:textId="39055896" w:rsidR="000E3517" w:rsidRPr="00412616" w:rsidRDefault="008C4C90" w:rsidP="00182234">
    <w:pPr>
      <w:pStyle w:val="Body"/>
      <w:tabs>
        <w:tab w:val="left" w:pos="1701"/>
        <w:tab w:val="left" w:pos="4536"/>
        <w:tab w:val="left" w:pos="6804"/>
        <w:tab w:val="right" w:pos="9639"/>
      </w:tabs>
      <w:ind w:left="0"/>
      <w:rPr>
        <w:sz w:val="20"/>
        <w:szCs w:val="20"/>
      </w:rPr>
    </w:pPr>
    <w:proofErr w:type="spellStart"/>
    <w:r w:rsidRPr="00412616">
      <w:rPr>
        <w:rFonts w:ascii="Arial" w:hAnsi="Arial"/>
        <w:sz w:val="20"/>
        <w:szCs w:val="20"/>
      </w:rPr>
      <w:t>CEff</w:t>
    </w:r>
    <w:proofErr w:type="spellEnd"/>
    <w:r w:rsidRPr="00412616">
      <w:rPr>
        <w:rFonts w:ascii="Arial" w:hAnsi="Arial"/>
        <w:sz w:val="20"/>
        <w:szCs w:val="20"/>
      </w:rPr>
      <w:tab/>
    </w:r>
    <w:r w:rsidR="00182234">
      <w:rPr>
        <w:rFonts w:ascii="Arial" w:hAnsi="Arial"/>
        <w:sz w:val="20"/>
        <w:szCs w:val="20"/>
      </w:rPr>
      <w:t>30</w:t>
    </w:r>
    <w:r w:rsidR="00412616" w:rsidRPr="00412616">
      <w:rPr>
        <w:rFonts w:ascii="Arial" w:hAnsi="Arial"/>
        <w:sz w:val="20"/>
        <w:szCs w:val="20"/>
      </w:rPr>
      <w:t>11</w:t>
    </w:r>
    <w:r w:rsidRPr="00412616">
      <w:rPr>
        <w:rFonts w:ascii="Arial" w:hAnsi="Arial"/>
        <w:sz w:val="20"/>
        <w:szCs w:val="20"/>
      </w:rPr>
      <w:t>22</w:t>
    </w:r>
    <w:r w:rsidRPr="00412616">
      <w:rPr>
        <w:rFonts w:ascii="Arial" w:hAnsi="Arial"/>
        <w:sz w:val="20"/>
        <w:szCs w:val="20"/>
      </w:rPr>
      <w:tab/>
    </w:r>
    <w:r w:rsidRPr="00412616">
      <w:rPr>
        <w:rFonts w:ascii="Arial" w:eastAsia="Arial" w:hAnsi="Arial" w:cs="Arial"/>
        <w:sz w:val="20"/>
        <w:szCs w:val="20"/>
      </w:rPr>
      <w:fldChar w:fldCharType="begin"/>
    </w:r>
    <w:r w:rsidRPr="00412616">
      <w:rPr>
        <w:rFonts w:ascii="Arial" w:eastAsia="Arial" w:hAnsi="Arial" w:cs="Arial"/>
        <w:sz w:val="20"/>
        <w:szCs w:val="20"/>
      </w:rPr>
      <w:instrText xml:space="preserve"> PAGE </w:instrText>
    </w:r>
    <w:r w:rsidRPr="00412616">
      <w:rPr>
        <w:rFonts w:ascii="Arial" w:eastAsia="Arial" w:hAnsi="Arial" w:cs="Arial"/>
        <w:sz w:val="20"/>
        <w:szCs w:val="20"/>
      </w:rPr>
      <w:fldChar w:fldCharType="separate"/>
    </w:r>
    <w:r w:rsidRPr="00412616">
      <w:rPr>
        <w:rFonts w:ascii="Arial" w:eastAsia="Arial" w:hAnsi="Arial" w:cs="Arial"/>
        <w:noProof/>
        <w:sz w:val="20"/>
        <w:szCs w:val="20"/>
      </w:rPr>
      <w:t>2</w:t>
    </w:r>
    <w:r w:rsidRPr="00412616">
      <w:rPr>
        <w:rFonts w:ascii="Arial" w:eastAsia="Arial" w:hAnsi="Arial" w:cs="Arial"/>
        <w:sz w:val="20"/>
        <w:szCs w:val="20"/>
      </w:rPr>
      <w:fldChar w:fldCharType="end"/>
    </w:r>
    <w:r w:rsidRPr="00412616">
      <w:rPr>
        <w:rFonts w:ascii="Arial" w:eastAsia="Arial" w:hAnsi="Arial" w:cs="Arial"/>
        <w:sz w:val="20"/>
        <w:szCs w:val="20"/>
      </w:rPr>
      <w:tab/>
      <w:t xml:space="preserve"> V</w:t>
    </w:r>
    <w:r w:rsidR="00412616" w:rsidRPr="00412616">
      <w:rPr>
        <w:rFonts w:ascii="Arial" w:hAnsi="Arial"/>
        <w:sz w:val="20"/>
        <w:szCs w:val="20"/>
      </w:rPr>
      <w:t>3</w:t>
    </w:r>
    <w:r w:rsidR="003A69C2">
      <w:rPr>
        <w:rFonts w:ascii="Arial" w:hAnsi="Arial"/>
        <w:sz w:val="20"/>
        <w:szCs w:val="20"/>
      </w:rPr>
      <w:tab/>
    </w:r>
    <w:r w:rsidRPr="00412616">
      <w:rPr>
        <w:rFonts w:ascii="Arial" w:hAnsi="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2B5" w14:textId="00D020F3" w:rsidR="000E3517" w:rsidRDefault="003A69C2" w:rsidP="00182234">
    <w:pPr>
      <w:pStyle w:val="Body"/>
      <w:tabs>
        <w:tab w:val="left" w:pos="1418"/>
        <w:tab w:val="left" w:pos="2268"/>
        <w:tab w:val="left" w:pos="4536"/>
        <w:tab w:val="left" w:pos="5103"/>
        <w:tab w:val="left" w:pos="5670"/>
      </w:tabs>
      <w:ind w:left="0"/>
    </w:pPr>
    <w:r>
      <w:rPr>
        <w:noProof/>
      </w:rPr>
      <w:drawing>
        <wp:anchor distT="0" distB="0" distL="114300" distR="114300" simplePos="0" relativeHeight="251664384" behindDoc="0" locked="0" layoutInCell="1" allowOverlap="1" wp14:anchorId="7A213E01" wp14:editId="1C306E57">
          <wp:simplePos x="0" y="0"/>
          <wp:positionH relativeFrom="column">
            <wp:posOffset>4013200</wp:posOffset>
          </wp:positionH>
          <wp:positionV relativeFrom="paragraph">
            <wp:posOffset>361315</wp:posOffset>
          </wp:positionV>
          <wp:extent cx="2139950" cy="425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425450"/>
                  </a:xfrm>
                  <a:prstGeom prst="rect">
                    <a:avLst/>
                  </a:prstGeom>
                  <a:noFill/>
                  <a:ln>
                    <a:noFill/>
                  </a:ln>
                </pic:spPr>
              </pic:pic>
            </a:graphicData>
          </a:graphic>
        </wp:anchor>
      </w:drawing>
    </w:r>
    <w:r w:rsidR="008C4C90">
      <w:rPr>
        <w:rFonts w:ascii="Arial" w:eastAsia="Arial" w:hAnsi="Arial" w:cs="Arial"/>
        <w:noProof/>
        <w:sz w:val="20"/>
        <w:szCs w:val="20"/>
      </w:rPr>
      <w:drawing>
        <wp:inline distT="0" distB="0" distL="0" distR="0" wp14:anchorId="6C3072BC" wp14:editId="6C3072BD">
          <wp:extent cx="708660" cy="731520"/>
          <wp:effectExtent l="0" t="0" r="0" b="0"/>
          <wp:docPr id="1073741828" name="officeArt object" descr="path_crest_min_grey.tif"/>
          <wp:cNvGraphicFramePr/>
          <a:graphic xmlns:a="http://schemas.openxmlformats.org/drawingml/2006/main">
            <a:graphicData uri="http://schemas.openxmlformats.org/drawingml/2006/picture">
              <pic:pic xmlns:pic="http://schemas.openxmlformats.org/drawingml/2006/picture">
                <pic:nvPicPr>
                  <pic:cNvPr id="1073741828" name="path_crest_min_grey.tif" descr="path_crest_min_grey.tif"/>
                  <pic:cNvPicPr>
                    <a:picLocks noChangeAspect="1"/>
                  </pic:cNvPicPr>
                </pic:nvPicPr>
                <pic:blipFill>
                  <a:blip r:embed="rId2"/>
                  <a:stretch>
                    <a:fillRect/>
                  </a:stretch>
                </pic:blipFill>
                <pic:spPr>
                  <a:xfrm>
                    <a:off x="0" y="0"/>
                    <a:ext cx="708660" cy="731520"/>
                  </a:xfrm>
                  <a:prstGeom prst="rect">
                    <a:avLst/>
                  </a:prstGeom>
                  <a:ln w="12700" cap="flat">
                    <a:noFill/>
                    <a:miter lim="400000"/>
                  </a:ln>
                  <a:effectLst/>
                </pic:spPr>
              </pic:pic>
            </a:graphicData>
          </a:graphic>
        </wp:inline>
      </w:drawing>
    </w:r>
    <w:r w:rsidR="008C4C90">
      <w:rPr>
        <w:rFonts w:ascii="Arial" w:eastAsia="Arial" w:hAnsi="Arial" w:cs="Arial"/>
        <w:sz w:val="20"/>
        <w:szCs w:val="20"/>
      </w:rPr>
      <w:tab/>
    </w:r>
    <w:proofErr w:type="spellStart"/>
    <w:r w:rsidR="008C4C90">
      <w:rPr>
        <w:rFonts w:ascii="Arial" w:eastAsia="Arial" w:hAnsi="Arial" w:cs="Arial"/>
        <w:sz w:val="20"/>
        <w:szCs w:val="20"/>
      </w:rPr>
      <w:t>CEff</w:t>
    </w:r>
    <w:proofErr w:type="spellEnd"/>
    <w:r w:rsidR="008C4C90">
      <w:rPr>
        <w:rFonts w:ascii="Arial" w:eastAsia="Arial" w:hAnsi="Arial" w:cs="Arial"/>
        <w:sz w:val="20"/>
        <w:szCs w:val="20"/>
      </w:rPr>
      <w:tab/>
    </w:r>
    <w:r>
      <w:rPr>
        <w:rFonts w:ascii="Arial" w:eastAsia="Arial" w:hAnsi="Arial" w:cs="Arial"/>
        <w:sz w:val="20"/>
        <w:szCs w:val="20"/>
      </w:rPr>
      <w:t>30</w:t>
    </w:r>
    <w:r w:rsidR="00412616">
      <w:rPr>
        <w:rFonts w:ascii="Arial" w:eastAsia="Arial" w:hAnsi="Arial" w:cs="Arial"/>
        <w:sz w:val="20"/>
        <w:szCs w:val="20"/>
      </w:rPr>
      <w:t>1122</w:t>
    </w:r>
    <w:r w:rsidR="008C4C90">
      <w:rPr>
        <w:rFonts w:ascii="Arial" w:eastAsia="Arial" w:hAnsi="Arial" w:cs="Arial"/>
        <w:sz w:val="20"/>
        <w:szCs w:val="20"/>
      </w:rPr>
      <w:tab/>
    </w:r>
    <w:r w:rsidR="008C4C90">
      <w:rPr>
        <w:rFonts w:ascii="Arial" w:eastAsia="Arial" w:hAnsi="Arial" w:cs="Arial"/>
        <w:sz w:val="20"/>
        <w:szCs w:val="20"/>
      </w:rPr>
      <w:fldChar w:fldCharType="begin"/>
    </w:r>
    <w:r w:rsidR="008C4C90">
      <w:rPr>
        <w:rFonts w:ascii="Arial" w:eastAsia="Arial" w:hAnsi="Arial" w:cs="Arial"/>
        <w:sz w:val="20"/>
        <w:szCs w:val="20"/>
      </w:rPr>
      <w:instrText xml:space="preserve"> PAGE </w:instrText>
    </w:r>
    <w:r w:rsidR="008C4C90">
      <w:rPr>
        <w:rFonts w:ascii="Arial" w:eastAsia="Arial" w:hAnsi="Arial" w:cs="Arial"/>
        <w:sz w:val="20"/>
        <w:szCs w:val="20"/>
      </w:rPr>
      <w:fldChar w:fldCharType="separate"/>
    </w:r>
    <w:r w:rsidR="008C4C90">
      <w:rPr>
        <w:rFonts w:ascii="Arial" w:eastAsia="Arial" w:hAnsi="Arial" w:cs="Arial"/>
        <w:noProof/>
        <w:sz w:val="20"/>
        <w:szCs w:val="20"/>
      </w:rPr>
      <w:t>1</w:t>
    </w:r>
    <w:r w:rsidR="008C4C90">
      <w:rPr>
        <w:rFonts w:ascii="Arial" w:eastAsia="Arial" w:hAnsi="Arial" w:cs="Arial"/>
        <w:sz w:val="20"/>
        <w:szCs w:val="20"/>
      </w:rPr>
      <w:fldChar w:fldCharType="end"/>
    </w:r>
    <w:r w:rsidR="008C4C90">
      <w:rPr>
        <w:rFonts w:ascii="Arial" w:eastAsia="Arial" w:hAnsi="Arial" w:cs="Arial"/>
        <w:sz w:val="20"/>
        <w:szCs w:val="20"/>
      </w:rPr>
      <w:tab/>
      <w:t>V3</w:t>
    </w:r>
    <w:r>
      <w:rPr>
        <w:rFonts w:ascii="Arial" w:eastAsia="Arial" w:hAnsi="Arial" w:cs="Arial"/>
        <w:sz w:val="20"/>
        <w:szCs w:val="20"/>
      </w:rPr>
      <w:tab/>
    </w:r>
    <w:r w:rsidR="008C4C90">
      <w:rPr>
        <w:rFonts w:ascii="Arial" w:eastAsia="Arial" w:hAnsi="Arial"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DEF3" w14:textId="77777777" w:rsidR="0023115C" w:rsidRDefault="0023115C">
      <w:r>
        <w:separator/>
      </w:r>
    </w:p>
  </w:footnote>
  <w:footnote w:type="continuationSeparator" w:id="0">
    <w:p w14:paraId="63D93AA9" w14:textId="77777777" w:rsidR="0023115C" w:rsidRDefault="0023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2B2" w14:textId="17B424A1" w:rsidR="000E3517" w:rsidRDefault="008C4C90" w:rsidP="00182234">
    <w:pPr>
      <w:pStyle w:val="HeaderFooter"/>
    </w:pPr>
    <w:r>
      <w:rPr>
        <w:noProof/>
      </w:rPr>
      <w:drawing>
        <wp:anchor distT="152400" distB="152400" distL="152400" distR="152400" simplePos="0" relativeHeight="251651072" behindDoc="1" locked="0" layoutInCell="1" allowOverlap="1" wp14:anchorId="6C3072B6" wp14:editId="6C3072B7">
          <wp:simplePos x="0" y="0"/>
          <wp:positionH relativeFrom="page">
            <wp:posOffset>365678</wp:posOffset>
          </wp:positionH>
          <wp:positionV relativeFrom="page">
            <wp:posOffset>19726910</wp:posOffset>
          </wp:positionV>
          <wp:extent cx="904240" cy="765810"/>
          <wp:effectExtent l="0" t="0" r="0" b="0"/>
          <wp:wrapNone/>
          <wp:docPr id="1073741825" name="officeArt object" descr="Investor_crest"/>
          <wp:cNvGraphicFramePr/>
          <a:graphic xmlns:a="http://schemas.openxmlformats.org/drawingml/2006/main">
            <a:graphicData uri="http://schemas.openxmlformats.org/drawingml/2006/picture">
              <pic:pic xmlns:pic="http://schemas.openxmlformats.org/drawingml/2006/picture">
                <pic:nvPicPr>
                  <pic:cNvPr id="1073741825" name="Investor_crest" descr="Investor_crest"/>
                  <pic:cNvPicPr>
                    <a:picLocks noChangeAspect="1"/>
                  </pic:cNvPicPr>
                </pic:nvPicPr>
                <pic:blipFill>
                  <a:blip r:embed="rId1"/>
                  <a:srcRect l="52472"/>
                  <a:stretch>
                    <a:fillRect/>
                  </a:stretch>
                </pic:blipFill>
                <pic:spPr>
                  <a:xfrm>
                    <a:off x="0" y="0"/>
                    <a:ext cx="904240" cy="76581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2B4" w14:textId="07EB0893" w:rsidR="000E3517" w:rsidRDefault="003A69C2" w:rsidP="00182234">
    <w:pPr>
      <w:pStyle w:val="Header"/>
      <w:ind w:left="0"/>
    </w:pPr>
    <w:r>
      <w:rPr>
        <w:noProof/>
      </w:rPr>
      <w:drawing>
        <wp:inline distT="0" distB="0" distL="0" distR="0" wp14:anchorId="1FEE2950" wp14:editId="070CDB59">
          <wp:extent cx="3419475" cy="916305"/>
          <wp:effectExtent l="0" t="0" r="9525"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19475" cy="916305"/>
                  </a:xfrm>
                  <a:prstGeom prst="rect">
                    <a:avLst/>
                  </a:prstGeom>
                </pic:spPr>
              </pic:pic>
            </a:graphicData>
          </a:graphic>
        </wp:inline>
      </w:drawing>
    </w:r>
    <w:r w:rsidR="008C4C90">
      <w:rPr>
        <w:noProof/>
      </w:rPr>
      <w:drawing>
        <wp:anchor distT="152400" distB="152400" distL="152400" distR="152400" simplePos="0" relativeHeight="251652096" behindDoc="1" locked="0" layoutInCell="1" allowOverlap="1" wp14:anchorId="6C3072B8" wp14:editId="031826F5">
          <wp:simplePos x="0" y="0"/>
          <wp:positionH relativeFrom="page">
            <wp:posOffset>365678</wp:posOffset>
          </wp:positionH>
          <wp:positionV relativeFrom="page">
            <wp:posOffset>19726910</wp:posOffset>
          </wp:positionV>
          <wp:extent cx="904240" cy="765810"/>
          <wp:effectExtent l="0" t="0" r="0" b="0"/>
          <wp:wrapNone/>
          <wp:docPr id="1073741827" name="officeArt object" descr="Investor_crest"/>
          <wp:cNvGraphicFramePr/>
          <a:graphic xmlns:a="http://schemas.openxmlformats.org/drawingml/2006/main">
            <a:graphicData uri="http://schemas.openxmlformats.org/drawingml/2006/picture">
              <pic:pic xmlns:pic="http://schemas.openxmlformats.org/drawingml/2006/picture">
                <pic:nvPicPr>
                  <pic:cNvPr id="1073741827" name="Investor_crest" descr="Investor_crest"/>
                  <pic:cNvPicPr>
                    <a:picLocks noChangeAspect="1"/>
                  </pic:cNvPicPr>
                </pic:nvPicPr>
                <pic:blipFill>
                  <a:blip r:embed="rId2"/>
                  <a:srcRect l="52472"/>
                  <a:stretch>
                    <a:fillRect/>
                  </a:stretch>
                </pic:blipFill>
                <pic:spPr>
                  <a:xfrm>
                    <a:off x="0" y="0"/>
                    <a:ext cx="904240" cy="76581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062"/>
    <w:multiLevelType w:val="hybridMultilevel"/>
    <w:tmpl w:val="5E9AA4BA"/>
    <w:lvl w:ilvl="0" w:tplc="048A8C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6FA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EE1A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9089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E262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2E68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246C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F061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86A6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4657C9"/>
    <w:multiLevelType w:val="hybridMultilevel"/>
    <w:tmpl w:val="E67A9AA4"/>
    <w:lvl w:ilvl="0" w:tplc="F67C811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44C52D4">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10BE22">
      <w:start w:val="1"/>
      <w:numFmt w:val="lowerRoman"/>
      <w:lvlText w:val="%3."/>
      <w:lvlJc w:val="left"/>
      <w:pPr>
        <w:ind w:left="180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E828A1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C562B1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A184F04">
      <w:start w:val="1"/>
      <w:numFmt w:val="lowerRoman"/>
      <w:lvlText w:val="%6."/>
      <w:lvlJc w:val="left"/>
      <w:pPr>
        <w:ind w:left="39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526834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34DCF0">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3D67222">
      <w:start w:val="1"/>
      <w:numFmt w:val="lowerRoman"/>
      <w:lvlText w:val="%9."/>
      <w:lvlJc w:val="left"/>
      <w:pPr>
        <w:ind w:left="61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2B4000C"/>
    <w:multiLevelType w:val="hybridMultilevel"/>
    <w:tmpl w:val="D97AA4E8"/>
    <w:lvl w:ilvl="0" w:tplc="D3341A12">
      <w:start w:val="1"/>
      <w:numFmt w:val="decimal"/>
      <w:lvlText w:val="%1."/>
      <w:lvlJc w:val="left"/>
      <w:pPr>
        <w:ind w:left="4125" w:hanging="4125"/>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1" w:tplc="A7A6FC9E">
      <w:start w:val="1"/>
      <w:numFmt w:val="lowerLetter"/>
      <w:lvlText w:val="%2."/>
      <w:lvlJc w:val="left"/>
      <w:pPr>
        <w:tabs>
          <w:tab w:val="left" w:pos="4125"/>
        </w:tabs>
        <w:ind w:left="3405" w:hanging="3405"/>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2" w:tplc="C756ACB6">
      <w:start w:val="1"/>
      <w:numFmt w:val="lowerRoman"/>
      <w:lvlText w:val="%3."/>
      <w:lvlJc w:val="left"/>
      <w:pPr>
        <w:tabs>
          <w:tab w:val="left" w:pos="4125"/>
        </w:tabs>
        <w:ind w:left="2627" w:hanging="2627"/>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3" w:tplc="614E51CA">
      <w:start w:val="1"/>
      <w:numFmt w:val="decimal"/>
      <w:lvlText w:val="%4."/>
      <w:lvlJc w:val="left"/>
      <w:pPr>
        <w:tabs>
          <w:tab w:val="left" w:pos="4125"/>
        </w:tabs>
        <w:ind w:left="2160" w:hanging="1965"/>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4" w:tplc="3B80F372">
      <w:start w:val="1"/>
      <w:numFmt w:val="lowerLetter"/>
      <w:lvlText w:val="%5."/>
      <w:lvlJc w:val="left"/>
      <w:pPr>
        <w:tabs>
          <w:tab w:val="left" w:pos="4125"/>
        </w:tabs>
        <w:ind w:left="2880" w:hanging="1245"/>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5" w:tplc="E6888A74">
      <w:start w:val="1"/>
      <w:numFmt w:val="lowerRoman"/>
      <w:lvlText w:val="%6."/>
      <w:lvlJc w:val="left"/>
      <w:pPr>
        <w:tabs>
          <w:tab w:val="left" w:pos="4125"/>
        </w:tabs>
        <w:ind w:left="3600" w:hanging="467"/>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6" w:tplc="22D6AF40">
      <w:start w:val="1"/>
      <w:numFmt w:val="decimal"/>
      <w:lvlText w:val="%7."/>
      <w:lvlJc w:val="left"/>
      <w:pPr>
        <w:ind w:left="4320" w:hanging="720"/>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7" w:tplc="94F883CC">
      <w:start w:val="1"/>
      <w:numFmt w:val="lowerLetter"/>
      <w:lvlText w:val="%8."/>
      <w:lvlJc w:val="left"/>
      <w:pPr>
        <w:tabs>
          <w:tab w:val="left" w:pos="4125"/>
        </w:tabs>
        <w:ind w:left="5040" w:hanging="720"/>
      </w:pPr>
      <w:rPr>
        <w:rFonts w:hAnsi="Arial Unicode MS"/>
        <w:caps w:val="0"/>
        <w:smallCaps w:val="0"/>
        <w:strike w:val="0"/>
        <w:dstrike w:val="0"/>
        <w:outline w:val="0"/>
        <w:emboss w:val="0"/>
        <w:imprint w:val="0"/>
        <w:color w:val="212121"/>
        <w:spacing w:val="0"/>
        <w:w w:val="100"/>
        <w:kern w:val="0"/>
        <w:position w:val="0"/>
        <w:highlight w:val="none"/>
        <w:vertAlign w:val="baseline"/>
      </w:rPr>
    </w:lvl>
    <w:lvl w:ilvl="8" w:tplc="8FD4325A">
      <w:start w:val="1"/>
      <w:numFmt w:val="lowerRoman"/>
      <w:lvlText w:val="%9."/>
      <w:lvlJc w:val="left"/>
      <w:pPr>
        <w:tabs>
          <w:tab w:val="left" w:pos="4125"/>
        </w:tabs>
        <w:ind w:left="5760" w:hanging="662"/>
      </w:pPr>
      <w:rPr>
        <w:rFonts w:hAnsi="Arial Unicode MS"/>
        <w:caps w:val="0"/>
        <w:smallCaps w:val="0"/>
        <w:strike w:val="0"/>
        <w:dstrike w:val="0"/>
        <w:outline w:val="0"/>
        <w:emboss w:val="0"/>
        <w:imprint w:val="0"/>
        <w:color w:val="212121"/>
        <w:spacing w:val="0"/>
        <w:w w:val="100"/>
        <w:kern w:val="0"/>
        <w:position w:val="0"/>
        <w:highlight w:val="none"/>
        <w:vertAlign w:val="baseline"/>
      </w:rPr>
    </w:lvl>
  </w:abstractNum>
  <w:abstractNum w:abstractNumId="3" w15:restartNumberingAfterBreak="0">
    <w:nsid w:val="2F9108B0"/>
    <w:multiLevelType w:val="hybridMultilevel"/>
    <w:tmpl w:val="D790585E"/>
    <w:lvl w:ilvl="0" w:tplc="A8DA43D6">
      <w:start w:val="1"/>
      <w:numFmt w:val="decimal"/>
      <w:lvlText w:val="%1."/>
      <w:lvlJc w:val="left"/>
      <w:pPr>
        <w:ind w:left="317"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6862A88">
      <w:start w:val="1"/>
      <w:numFmt w:val="lowerLetter"/>
      <w:lvlText w:val="%2."/>
      <w:lvlJc w:val="left"/>
      <w:pPr>
        <w:ind w:left="103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128A72E">
      <w:start w:val="1"/>
      <w:numFmt w:val="lowerRoman"/>
      <w:lvlText w:val="%3."/>
      <w:lvlJc w:val="left"/>
      <w:pPr>
        <w:ind w:left="1757"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220445D4">
      <w:start w:val="1"/>
      <w:numFmt w:val="decimal"/>
      <w:lvlText w:val="%4."/>
      <w:lvlJc w:val="left"/>
      <w:pPr>
        <w:ind w:left="247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9293E6">
      <w:start w:val="1"/>
      <w:numFmt w:val="lowerLetter"/>
      <w:lvlText w:val="%5."/>
      <w:lvlJc w:val="left"/>
      <w:pPr>
        <w:ind w:left="319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84A64B2">
      <w:start w:val="1"/>
      <w:numFmt w:val="lowerRoman"/>
      <w:lvlText w:val="%6."/>
      <w:lvlJc w:val="left"/>
      <w:pPr>
        <w:ind w:left="3917"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89D8B402">
      <w:start w:val="1"/>
      <w:numFmt w:val="decimal"/>
      <w:lvlText w:val="%7."/>
      <w:lvlJc w:val="left"/>
      <w:pPr>
        <w:ind w:left="463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45CD136">
      <w:start w:val="1"/>
      <w:numFmt w:val="lowerLetter"/>
      <w:lvlText w:val="%8."/>
      <w:lvlJc w:val="left"/>
      <w:pPr>
        <w:ind w:left="535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E8D90C">
      <w:start w:val="1"/>
      <w:numFmt w:val="lowerRoman"/>
      <w:lvlText w:val="%9."/>
      <w:lvlJc w:val="left"/>
      <w:pPr>
        <w:ind w:left="6077"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5837C5"/>
    <w:multiLevelType w:val="hybridMultilevel"/>
    <w:tmpl w:val="7D187458"/>
    <w:lvl w:ilvl="0" w:tplc="C59C99E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B00AF50">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DE0BFC">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384DE66">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DE845C">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627C48">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9E0510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31884D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11C79C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602635D"/>
    <w:multiLevelType w:val="hybridMultilevel"/>
    <w:tmpl w:val="5B5AF946"/>
    <w:lvl w:ilvl="0" w:tplc="B044AE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CAE71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468D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29460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920D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ECA8A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868A40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088C0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C6AE6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6A67431"/>
    <w:multiLevelType w:val="hybridMultilevel"/>
    <w:tmpl w:val="BE6A64E2"/>
    <w:lvl w:ilvl="0" w:tplc="921CD93C">
      <w:start w:val="1"/>
      <w:numFmt w:val="bullet"/>
      <w:lvlText w:val="·"/>
      <w:lvlJc w:val="left"/>
      <w:pPr>
        <w:ind w:left="7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FE36D6">
      <w:start w:val="1"/>
      <w:numFmt w:val="bullet"/>
      <w:lvlText w:val="o"/>
      <w:lvlJc w:val="left"/>
      <w:pPr>
        <w:ind w:left="1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C0C776">
      <w:start w:val="1"/>
      <w:numFmt w:val="bullet"/>
      <w:lvlText w:val="▪"/>
      <w:lvlJc w:val="left"/>
      <w:pPr>
        <w:ind w:left="2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3CBA5E">
      <w:start w:val="1"/>
      <w:numFmt w:val="bullet"/>
      <w:lvlText w:val="·"/>
      <w:lvlJc w:val="left"/>
      <w:pPr>
        <w:ind w:left="29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424E9C">
      <w:start w:val="1"/>
      <w:numFmt w:val="bullet"/>
      <w:lvlText w:val="o"/>
      <w:lvlJc w:val="left"/>
      <w:pPr>
        <w:ind w:left="36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3831F8">
      <w:start w:val="1"/>
      <w:numFmt w:val="bullet"/>
      <w:lvlText w:val="▪"/>
      <w:lvlJc w:val="left"/>
      <w:pPr>
        <w:ind w:left="43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E07208">
      <w:start w:val="1"/>
      <w:numFmt w:val="bullet"/>
      <w:lvlText w:val="·"/>
      <w:lvlJc w:val="left"/>
      <w:pPr>
        <w:ind w:left="50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161EC2">
      <w:start w:val="1"/>
      <w:numFmt w:val="bullet"/>
      <w:lvlText w:val="o"/>
      <w:lvlJc w:val="left"/>
      <w:pPr>
        <w:ind w:left="57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D4586E">
      <w:start w:val="1"/>
      <w:numFmt w:val="bullet"/>
      <w:lvlText w:val="▪"/>
      <w:lvlJc w:val="left"/>
      <w:pPr>
        <w:ind w:left="65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F956B6"/>
    <w:multiLevelType w:val="hybridMultilevel"/>
    <w:tmpl w:val="73CCECD0"/>
    <w:lvl w:ilvl="0" w:tplc="7F30BBF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494B47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CB0DE10">
      <w:start w:val="1"/>
      <w:numFmt w:val="decimal"/>
      <w:lvlText w:val="%3."/>
      <w:lvlJc w:val="left"/>
      <w:pPr>
        <w:tabs>
          <w:tab w:val="left" w:pos="72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E898B4">
      <w:start w:val="1"/>
      <w:numFmt w:val="decimal"/>
      <w:lvlText w:val="%4."/>
      <w:lvlJc w:val="left"/>
      <w:pPr>
        <w:tabs>
          <w:tab w:val="left" w:pos="72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8EEDAFE">
      <w:start w:val="1"/>
      <w:numFmt w:val="decimal"/>
      <w:lvlText w:val="%5."/>
      <w:lvlJc w:val="left"/>
      <w:pPr>
        <w:tabs>
          <w:tab w:val="left" w:pos="7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6E13E6">
      <w:start w:val="1"/>
      <w:numFmt w:val="decimal"/>
      <w:lvlText w:val="%6."/>
      <w:lvlJc w:val="left"/>
      <w:pPr>
        <w:tabs>
          <w:tab w:val="left" w:pos="72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DB8C4938">
      <w:start w:val="1"/>
      <w:numFmt w:val="decimal"/>
      <w:lvlText w:val="%7."/>
      <w:lvlJc w:val="left"/>
      <w:pPr>
        <w:tabs>
          <w:tab w:val="left" w:pos="72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1CA350">
      <w:start w:val="1"/>
      <w:numFmt w:val="decimal"/>
      <w:lvlText w:val="%8."/>
      <w:lvlJc w:val="left"/>
      <w:pPr>
        <w:tabs>
          <w:tab w:val="left" w:pos="72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646552">
      <w:start w:val="1"/>
      <w:numFmt w:val="decimal"/>
      <w:lvlText w:val="%9."/>
      <w:lvlJc w:val="left"/>
      <w:pPr>
        <w:tabs>
          <w:tab w:val="left" w:pos="72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09066D"/>
    <w:multiLevelType w:val="hybridMultilevel"/>
    <w:tmpl w:val="4DC62AAC"/>
    <w:lvl w:ilvl="0" w:tplc="60E461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D2337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DA6A1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24353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8C8F0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5ED3E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460D1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88AC4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84478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BA65B8B"/>
    <w:multiLevelType w:val="hybridMultilevel"/>
    <w:tmpl w:val="362EC9C8"/>
    <w:lvl w:ilvl="0" w:tplc="7784A0C0">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7AC010">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B0BE6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26E556">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72806C">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80764A">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C8B30C">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682A76">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BC51DC">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60716805">
    <w:abstractNumId w:val="1"/>
  </w:num>
  <w:num w:numId="2" w16cid:durableId="1899509764">
    <w:abstractNumId w:val="5"/>
  </w:num>
  <w:num w:numId="3" w16cid:durableId="725642986">
    <w:abstractNumId w:val="3"/>
  </w:num>
  <w:num w:numId="4" w16cid:durableId="1503617856">
    <w:abstractNumId w:val="4"/>
  </w:num>
  <w:num w:numId="5" w16cid:durableId="1560239787">
    <w:abstractNumId w:val="0"/>
  </w:num>
  <w:num w:numId="6" w16cid:durableId="1107507468">
    <w:abstractNumId w:val="6"/>
  </w:num>
  <w:num w:numId="7" w16cid:durableId="209464847">
    <w:abstractNumId w:val="4"/>
    <w:lvlOverride w:ilvl="0">
      <w:startOverride w:val="4"/>
    </w:lvlOverride>
  </w:num>
  <w:num w:numId="8" w16cid:durableId="1741824687">
    <w:abstractNumId w:val="9"/>
  </w:num>
  <w:num w:numId="9" w16cid:durableId="1152134165">
    <w:abstractNumId w:val="7"/>
    <w:lvlOverride w:ilvl="0">
      <w:lvl w:ilvl="0" w:tplc="7F30BBF2">
        <w:start w:val="1"/>
        <w:numFmt w:val="decimal"/>
        <w:lvlText w:val="%1."/>
        <w:lvlJc w:val="left"/>
        <w:pPr>
          <w:tabs>
            <w:tab w:val="num" w:pos="3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94B47C" w:tentative="1">
        <w:start w:val="1"/>
        <w:numFmt w:val="lowerLetter"/>
        <w:lvlText w:val="%2."/>
        <w:lvlJc w:val="left"/>
        <w:pPr>
          <w:ind w:left="1080" w:hanging="360"/>
        </w:pPr>
      </w:lvl>
    </w:lvlOverride>
    <w:lvlOverride w:ilvl="2">
      <w:lvl w:ilvl="2" w:tplc="7CB0DE10" w:tentative="1">
        <w:start w:val="1"/>
        <w:numFmt w:val="lowerRoman"/>
        <w:lvlText w:val="%3."/>
        <w:lvlJc w:val="right"/>
        <w:pPr>
          <w:ind w:left="1800" w:hanging="180"/>
        </w:pPr>
      </w:lvl>
    </w:lvlOverride>
    <w:lvlOverride w:ilvl="3">
      <w:lvl w:ilvl="3" w:tplc="98E898B4" w:tentative="1">
        <w:start w:val="1"/>
        <w:numFmt w:val="decimal"/>
        <w:lvlText w:val="%4."/>
        <w:lvlJc w:val="left"/>
        <w:pPr>
          <w:ind w:left="2520" w:hanging="360"/>
        </w:pPr>
      </w:lvl>
    </w:lvlOverride>
    <w:lvlOverride w:ilvl="4">
      <w:lvl w:ilvl="4" w:tplc="D8EEDAFE" w:tentative="1">
        <w:start w:val="1"/>
        <w:numFmt w:val="lowerLetter"/>
        <w:lvlText w:val="%5."/>
        <w:lvlJc w:val="left"/>
        <w:pPr>
          <w:ind w:left="3240" w:hanging="360"/>
        </w:pPr>
      </w:lvl>
    </w:lvlOverride>
    <w:lvlOverride w:ilvl="5">
      <w:lvl w:ilvl="5" w:tplc="066E13E6" w:tentative="1">
        <w:start w:val="1"/>
        <w:numFmt w:val="lowerRoman"/>
        <w:lvlText w:val="%6."/>
        <w:lvlJc w:val="right"/>
        <w:pPr>
          <w:ind w:left="3960" w:hanging="180"/>
        </w:pPr>
      </w:lvl>
    </w:lvlOverride>
    <w:lvlOverride w:ilvl="6">
      <w:lvl w:ilvl="6" w:tplc="DB8C4938" w:tentative="1">
        <w:start w:val="1"/>
        <w:numFmt w:val="decimal"/>
        <w:lvlText w:val="%7."/>
        <w:lvlJc w:val="left"/>
        <w:pPr>
          <w:ind w:left="4680" w:hanging="360"/>
        </w:pPr>
      </w:lvl>
    </w:lvlOverride>
    <w:lvlOverride w:ilvl="7">
      <w:lvl w:ilvl="7" w:tplc="371CA350" w:tentative="1">
        <w:start w:val="1"/>
        <w:numFmt w:val="lowerLetter"/>
        <w:lvlText w:val="%8."/>
        <w:lvlJc w:val="left"/>
        <w:pPr>
          <w:ind w:left="5400" w:hanging="360"/>
        </w:pPr>
      </w:lvl>
    </w:lvlOverride>
    <w:lvlOverride w:ilvl="8">
      <w:lvl w:ilvl="8" w:tplc="E7646552" w:tentative="1">
        <w:start w:val="1"/>
        <w:numFmt w:val="lowerRoman"/>
        <w:lvlText w:val="%9."/>
        <w:lvlJc w:val="right"/>
        <w:pPr>
          <w:ind w:left="6120" w:hanging="180"/>
        </w:pPr>
      </w:lvl>
    </w:lvlOverride>
  </w:num>
  <w:num w:numId="10" w16cid:durableId="1539246553">
    <w:abstractNumId w:val="2"/>
  </w:num>
  <w:num w:numId="11" w16cid:durableId="1388258073">
    <w:abstractNumId w:val="2"/>
    <w:lvlOverride w:ilvl="0">
      <w:startOverride w:val="2"/>
    </w:lvlOverride>
  </w:num>
  <w:num w:numId="12" w16cid:durableId="377124356">
    <w:abstractNumId w:val="2"/>
    <w:lvlOverride w:ilvl="0">
      <w:lvl w:ilvl="0" w:tplc="D3341A12">
        <w:start w:val="1"/>
        <w:numFmt w:val="decimal"/>
        <w:lvlText w:val="%1."/>
        <w:lvlJc w:val="left"/>
        <w:pPr>
          <w:ind w:left="720" w:hanging="720"/>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1">
      <w:lvl w:ilvl="1" w:tplc="A7A6FC9E">
        <w:start w:val="1"/>
        <w:numFmt w:val="lowerLetter"/>
        <w:lvlText w:val="%2."/>
        <w:lvlJc w:val="left"/>
        <w:pPr>
          <w:ind w:left="720" w:hanging="720"/>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2">
      <w:lvl w:ilvl="2" w:tplc="C756ACB6">
        <w:start w:val="1"/>
        <w:numFmt w:val="lowerRoman"/>
        <w:lvlText w:val="%3."/>
        <w:lvlJc w:val="left"/>
        <w:pPr>
          <w:ind w:left="1440" w:hanging="662"/>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3">
      <w:lvl w:ilvl="3" w:tplc="614E51CA">
        <w:start w:val="1"/>
        <w:numFmt w:val="decimal"/>
        <w:lvlText w:val="%4."/>
        <w:lvlJc w:val="left"/>
        <w:pPr>
          <w:ind w:left="2160" w:hanging="720"/>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4">
      <w:lvl w:ilvl="4" w:tplc="3B80F372">
        <w:start w:val="1"/>
        <w:numFmt w:val="lowerLetter"/>
        <w:lvlText w:val="%5."/>
        <w:lvlJc w:val="left"/>
        <w:pPr>
          <w:ind w:left="2880" w:hanging="720"/>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5">
      <w:lvl w:ilvl="5" w:tplc="E6888A74">
        <w:start w:val="1"/>
        <w:numFmt w:val="lowerRoman"/>
        <w:lvlText w:val="%6."/>
        <w:lvlJc w:val="left"/>
        <w:pPr>
          <w:ind w:left="3600" w:hanging="662"/>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6">
      <w:lvl w:ilvl="6" w:tplc="22D6AF40">
        <w:start w:val="1"/>
        <w:numFmt w:val="decimal"/>
        <w:lvlText w:val="%7."/>
        <w:lvlJc w:val="left"/>
        <w:pPr>
          <w:ind w:left="4320" w:hanging="720"/>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7">
      <w:lvl w:ilvl="7" w:tplc="94F883CC">
        <w:start w:val="1"/>
        <w:numFmt w:val="lowerLetter"/>
        <w:lvlText w:val="%8."/>
        <w:lvlJc w:val="left"/>
        <w:pPr>
          <w:ind w:left="5040" w:hanging="720"/>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lvlOverride w:ilvl="8">
      <w:lvl w:ilvl="8" w:tplc="8FD4325A">
        <w:start w:val="1"/>
        <w:numFmt w:val="lowerRoman"/>
        <w:lvlText w:val="%9."/>
        <w:lvlJc w:val="left"/>
        <w:pPr>
          <w:ind w:left="5760" w:hanging="662"/>
        </w:pPr>
        <w:rPr>
          <w:rFonts w:hAnsi="Arial Unicode MS"/>
          <w:b/>
          <w:bCs/>
          <w:caps w:val="0"/>
          <w:smallCaps w:val="0"/>
          <w:strike w:val="0"/>
          <w:dstrike w:val="0"/>
          <w:outline w:val="0"/>
          <w:emboss w:val="0"/>
          <w:imprint w:val="0"/>
          <w:color w:val="212121"/>
          <w:spacing w:val="0"/>
          <w:w w:val="100"/>
          <w:kern w:val="0"/>
          <w:position w:val="0"/>
          <w:highlight w:val="none"/>
          <w:vertAlign w:val="baseline"/>
        </w:rPr>
      </w:lvl>
    </w:lvlOverride>
  </w:num>
  <w:num w:numId="13" w16cid:durableId="725644118">
    <w:abstractNumId w:val="7"/>
  </w:num>
  <w:num w:numId="14" w16cid:durableId="247010133">
    <w:abstractNumId w:val="7"/>
    <w:lvlOverride w:ilvl="0">
      <w:lvl w:ilvl="0" w:tplc="7F30BBF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94B47C">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CB0DE10">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E898B4">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EEDAFE">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66E13E6">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8C4938">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1CA350">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646552">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17"/>
    <w:rsid w:val="000530F9"/>
    <w:rsid w:val="00054305"/>
    <w:rsid w:val="000E3517"/>
    <w:rsid w:val="000F598E"/>
    <w:rsid w:val="00155C4D"/>
    <w:rsid w:val="00182234"/>
    <w:rsid w:val="001A23C8"/>
    <w:rsid w:val="001F5913"/>
    <w:rsid w:val="0023115C"/>
    <w:rsid w:val="00257EF9"/>
    <w:rsid w:val="002B24FD"/>
    <w:rsid w:val="002F1C96"/>
    <w:rsid w:val="003A69C2"/>
    <w:rsid w:val="003C16B8"/>
    <w:rsid w:val="00412616"/>
    <w:rsid w:val="0043195E"/>
    <w:rsid w:val="004B7430"/>
    <w:rsid w:val="004D6FF4"/>
    <w:rsid w:val="00513980"/>
    <w:rsid w:val="005646BE"/>
    <w:rsid w:val="005E204E"/>
    <w:rsid w:val="005F499E"/>
    <w:rsid w:val="006228D9"/>
    <w:rsid w:val="0070454E"/>
    <w:rsid w:val="00760006"/>
    <w:rsid w:val="0079623D"/>
    <w:rsid w:val="00800AA3"/>
    <w:rsid w:val="008C4C90"/>
    <w:rsid w:val="008E7E9B"/>
    <w:rsid w:val="009B2193"/>
    <w:rsid w:val="00BE1617"/>
    <w:rsid w:val="00BF1C27"/>
    <w:rsid w:val="00BF4FEA"/>
    <w:rsid w:val="00C86769"/>
    <w:rsid w:val="00CD15F1"/>
    <w:rsid w:val="00CF43DF"/>
    <w:rsid w:val="00D37A91"/>
    <w:rsid w:val="00D95B77"/>
    <w:rsid w:val="00E434C9"/>
    <w:rsid w:val="00E45129"/>
    <w:rsid w:val="00E5399D"/>
    <w:rsid w:val="00EC57D1"/>
    <w:rsid w:val="00EE4651"/>
    <w:rsid w:val="00F233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0711B"/>
  <w15:docId w15:val="{58A47B88-899A-46B6-B514-8C9D2043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ind w:left="144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styleId="Header">
    <w:name w:val="header"/>
    <w:pPr>
      <w:tabs>
        <w:tab w:val="center" w:pos="4153"/>
        <w:tab w:val="right" w:pos="8306"/>
      </w:tabs>
      <w:ind w:left="1440"/>
      <w:jc w:val="both"/>
    </w:pPr>
    <w:rPr>
      <w:rFonts w:eastAsia="Times New Roman"/>
      <w:color w:val="000000"/>
      <w:sz w:val="24"/>
      <w:szCs w:val="24"/>
      <w:u w:color="000000"/>
      <w:lang w:val="en-US"/>
    </w:rPr>
  </w:style>
  <w:style w:type="paragraph" w:customStyle="1" w:styleId="Default">
    <w:name w:val="Default"/>
    <w:pPr>
      <w:ind w:left="1440"/>
      <w:jc w:val="both"/>
    </w:pPr>
    <w:rPr>
      <w:rFonts w:ascii="Arial" w:hAnsi="Arial"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jc w:val="both"/>
    </w:pPr>
    <w:rPr>
      <w:rFonts w:ascii="Calibri" w:hAnsi="Calibri" w:cs="Arial Unicode MS"/>
      <w:color w:val="000000"/>
      <w:sz w:val="22"/>
      <w:szCs w:val="22"/>
      <w:u w:color="000000"/>
      <w:lang w:val="en-US"/>
    </w:rPr>
  </w:style>
  <w:style w:type="paragraph" w:customStyle="1" w:styleId="BodyA">
    <w:name w:val="Body A"/>
    <w:pPr>
      <w:ind w:left="1440"/>
      <w:jc w:val="both"/>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paragraph" w:customStyle="1" w:styleId="Heading">
    <w:name w:val="Heading"/>
    <w:next w:val="Body"/>
    <w:pPr>
      <w:keepNext/>
      <w:ind w:left="1440"/>
      <w:jc w:val="both"/>
      <w:outlineLvl w:val="0"/>
    </w:pPr>
    <w:rPr>
      <w:rFonts w:ascii="Calibri" w:eastAsia="Calibri" w:hAnsi="Calibri" w:cs="Calibri"/>
      <w:b/>
      <w:bC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character" w:customStyle="1" w:styleId="None">
    <w:name w:val="None"/>
  </w:style>
  <w:style w:type="character" w:customStyle="1" w:styleId="Hyperlink1">
    <w:name w:val="Hyperlink.1"/>
    <w:basedOn w:val="None"/>
    <w:rPr>
      <w:rFonts w:ascii="Arial" w:eastAsia="Arial" w:hAnsi="Arial" w:cs="Arial"/>
      <w:u w:val="single"/>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8676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D6FF4"/>
    <w:rPr>
      <w:color w:val="605E5C"/>
      <w:shd w:val="clear" w:color="auto" w:fill="E1DFDD"/>
    </w:rPr>
  </w:style>
  <w:style w:type="paragraph" w:styleId="Footer">
    <w:name w:val="footer"/>
    <w:basedOn w:val="Normal"/>
    <w:link w:val="FooterChar"/>
    <w:uiPriority w:val="99"/>
    <w:unhideWhenUsed/>
    <w:rsid w:val="00412616"/>
    <w:pPr>
      <w:tabs>
        <w:tab w:val="center" w:pos="4513"/>
        <w:tab w:val="right" w:pos="9026"/>
      </w:tabs>
    </w:pPr>
  </w:style>
  <w:style w:type="character" w:customStyle="1" w:styleId="FooterChar">
    <w:name w:val="Footer Char"/>
    <w:basedOn w:val="DefaultParagraphFont"/>
    <w:link w:val="Footer"/>
    <w:uiPriority w:val="99"/>
    <w:rsid w:val="00412616"/>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3195E"/>
    <w:rPr>
      <w:b/>
      <w:bCs/>
    </w:rPr>
  </w:style>
  <w:style w:type="character" w:customStyle="1" w:styleId="CommentSubjectChar">
    <w:name w:val="Comment Subject Char"/>
    <w:basedOn w:val="CommentTextChar"/>
    <w:link w:val="CommentSubject"/>
    <w:uiPriority w:val="99"/>
    <w:semiHidden/>
    <w:rsid w:val="0043195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path.org/profession/publications/cancer-dataset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ets.org.uk/wp-content/uploads/BAETS-Audit-National-Report-201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specialty-specific-publication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a0bac11-0413-4193-93bb-144e165abb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13811B7AD3A144883CF124E7341F18" ma:contentTypeVersion="15" ma:contentTypeDescription="Create a new document." ma:contentTypeScope="" ma:versionID="2a23b6f3af88083ecc7088068e5a62ce">
  <xsd:schema xmlns:xsd="http://www.w3.org/2001/XMLSchema" xmlns:xs="http://www.w3.org/2001/XMLSchema" xmlns:p="http://schemas.microsoft.com/office/2006/metadata/properties" xmlns:ns3="2a0bac11-0413-4193-93bb-144e165abb07" xmlns:ns4="b8b360be-da2f-4c2f-a824-c7742c221998" targetNamespace="http://schemas.microsoft.com/office/2006/metadata/properties" ma:root="true" ma:fieldsID="2de7633c6957e3d7c0a59394e9c91a2b" ns3:_="" ns4:_="">
    <xsd:import namespace="2a0bac11-0413-4193-93bb-144e165abb07"/>
    <xsd:import namespace="b8b360be-da2f-4c2f-a824-c7742c2219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c11-0413-4193-93bb-144e165ab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360be-da2f-4c2f-a824-c7742c2219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9D8A2-0908-4325-B95E-8828F4F159AC}">
  <ds:schemaRefs>
    <ds:schemaRef ds:uri="http://schemas.openxmlformats.org/officeDocument/2006/bibliography"/>
  </ds:schemaRefs>
</ds:datastoreItem>
</file>

<file path=customXml/itemProps2.xml><?xml version="1.0" encoding="utf-8"?>
<ds:datastoreItem xmlns:ds="http://schemas.openxmlformats.org/officeDocument/2006/customXml" ds:itemID="{8953E074-BB1D-445A-8A10-F30ADF217056}">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b8b360be-da2f-4c2f-a824-c7742c221998"/>
    <ds:schemaRef ds:uri="2a0bac11-0413-4193-93bb-144e165abb07"/>
    <ds:schemaRef ds:uri="http://schemas.microsoft.com/office/2006/metadata/properties"/>
  </ds:schemaRefs>
</ds:datastoreItem>
</file>

<file path=customXml/itemProps3.xml><?xml version="1.0" encoding="utf-8"?>
<ds:datastoreItem xmlns:ds="http://schemas.openxmlformats.org/officeDocument/2006/customXml" ds:itemID="{5B57B69D-BB1B-456F-A7F9-B4940282F65B}">
  <ds:schemaRefs>
    <ds:schemaRef ds:uri="http://schemas.microsoft.com/sharepoint/v3/contenttype/forms"/>
  </ds:schemaRefs>
</ds:datastoreItem>
</file>

<file path=customXml/itemProps4.xml><?xml version="1.0" encoding="utf-8"?>
<ds:datastoreItem xmlns:ds="http://schemas.openxmlformats.org/officeDocument/2006/customXml" ds:itemID="{48322918-32C1-4938-9395-D8E58719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c11-0413-4193-93bb-144e165abb07"/>
    <ds:schemaRef ds:uri="b8b360be-da2f-4c2f-a824-c7742c221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Mitri</dc:creator>
  <cp:lastModifiedBy>Jack Reader</cp:lastModifiedBy>
  <cp:revision>2</cp:revision>
  <dcterms:created xsi:type="dcterms:W3CDTF">2022-11-30T15:57:00Z</dcterms:created>
  <dcterms:modified xsi:type="dcterms:W3CDTF">2022-11-30T15:57:00Z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b0bf409790f801d55914dab504a94ecf9d689732482af3b3f3a4ce551b79756f</vt:lpwstr>
  </property>
  <property fmtid="{D5CDD505-2E9C-101B-9397-08002B2CF9AE}" pid="3" name="ContentTypeId">
    <vt:lpwstr>0x0101009213811B7AD3A144883CF124E7341F18</vt:lpwstr>
  </property>
</Properties>
</file>